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F70FB">
      <w:pPr>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mc:AlternateContent>
          <mc:Choice Requires="wps">
            <w:drawing>
              <wp:anchor distT="0" distB="0" distL="114300" distR="114300" simplePos="0" relativeHeight="251660288" behindDoc="0" locked="0" layoutInCell="1" allowOverlap="1">
                <wp:simplePos x="0" y="0"/>
                <wp:positionH relativeFrom="column">
                  <wp:posOffset>-250825</wp:posOffset>
                </wp:positionH>
                <wp:positionV relativeFrom="paragraph">
                  <wp:posOffset>-372745</wp:posOffset>
                </wp:positionV>
                <wp:extent cx="121920" cy="76200"/>
                <wp:effectExtent l="0" t="0" r="0" b="0"/>
                <wp:wrapNone/>
                <wp:docPr id="15" name="文本框 15"/>
                <wp:cNvGraphicFramePr/>
                <a:graphic xmlns:a="http://schemas.openxmlformats.org/drawingml/2006/main">
                  <a:graphicData uri="http://schemas.microsoft.com/office/word/2010/wordprocessingShape">
                    <wps:wsp>
                      <wps:cNvSpPr txBox="1"/>
                      <wps:spPr>
                        <a:xfrm flipV="1">
                          <a:off x="1227455" y="1050925"/>
                          <a:ext cx="121920" cy="76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C03676">
                            <w:pPr>
                              <w:rPr>
                                <w:rFonts w:hint="eastAsia" w:ascii="仿宋_GB2312" w:hAnsi="仿宋_GB2312" w:eastAsia="仿宋_GB2312" w:cs="仿宋_GB2312"/>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19.75pt;margin-top:-29.35pt;height:6pt;width:9.6pt;z-index:251660288;mso-width-relative:page;mso-height-relative:page;" fillcolor="#FFFFFF [3201]" filled="t" stroked="f" coordsize="21600,21600" o:gfxdata="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iC&#10;9+HYAAAACwEAAA8AAAAAAAAAAQAgAAAAIgAAAGRycy9kb3ducmV2LnhtbFBLAQIUABQAAAAIAIdO&#10;4kAKAyTYXAIAAKUEAAAOAAAAAAAAAAEAIAAAACcBAABkcnMvZTJvRG9jLnhtbFBLBQYAAAAABgAG&#10;AFkBAAD1BQAAAAA=&#10;">
                <v:fill on="t" focussize="0,0"/>
                <v:stroke on="f" weight="0.5pt"/>
                <v:imagedata o:title=""/>
                <o:lock v:ext="edit" aspectratio="f"/>
                <v:textbox>
                  <w:txbxContent>
                    <w:p w14:paraId="69C03676">
                      <w:pPr>
                        <w:rPr>
                          <w:rFonts w:hint="eastAsia" w:ascii="仿宋_GB2312" w:hAnsi="仿宋_GB2312" w:eastAsia="仿宋_GB2312" w:cs="仿宋_GB2312"/>
                          <w:sz w:val="32"/>
                          <w:szCs w:val="32"/>
                          <w:lang w:val="en-US" w:eastAsia="zh-CN"/>
                        </w:rPr>
                      </w:pPr>
                    </w:p>
                  </w:txbxContent>
                </v:textbox>
              </v:shape>
            </w:pict>
          </mc:Fallback>
        </mc:AlternateContent>
      </w:r>
      <w:r>
        <w:rPr>
          <w:rFonts w:hint="eastAsia" w:ascii="黑体" w:hAnsi="黑体" w:eastAsia="黑体" w:cs="黑体"/>
          <w:sz w:val="32"/>
          <w:szCs w:val="32"/>
          <w:lang w:eastAsia="zh-CN"/>
        </w:rPr>
        <w:t>附件：</w:t>
      </w:r>
    </w:p>
    <w:p w14:paraId="34D3B733">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内建协〔2026〕87号</w:t>
      </w:r>
    </w:p>
    <w:p w14:paraId="6C7166B4">
      <w:pPr>
        <w:bidi w:val="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关于开展内蒙古自治区建筑业2026年“安全生产月”</w:t>
      </w:r>
    </w:p>
    <w:p w14:paraId="42882E27">
      <w:pPr>
        <w:bidi w:val="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活动的通知</w:t>
      </w:r>
    </w:p>
    <w:p w14:paraId="05469662">
      <w:pPr>
        <w:bidi w:val="0"/>
        <w:jc w:val="center"/>
        <w:rPr>
          <w:rFonts w:hint="eastAsia" w:ascii="仿宋_GB2312" w:hAnsi="仿宋_GB2312" w:eastAsia="仿宋_GB2312" w:cs="仿宋_GB2312"/>
          <w:sz w:val="32"/>
          <w:szCs w:val="32"/>
          <w:lang w:eastAsia="zh-CN"/>
        </w:rPr>
      </w:pPr>
    </w:p>
    <w:p w14:paraId="0C56261E">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各盟市建筑业（行业）协会、满洲里市建筑业协会、会员单位：</w:t>
      </w:r>
    </w:p>
    <w:p w14:paraId="03CC182A">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今年6月是第25个全国“安全生产月”，为深入宣传贯彻习近平总书记关于安全生产重要论述和重要指示批示精神，进一步提升从业人员安全知识水平。按照《国务院安委会办公室 应急管理部关于开展2026年全国“安全生产月”活动的通知》（安委办〔2026〕2号）文件精神，经研究，决定开展2026年建筑业“安全生产月”活动。现将有关事项通知如下：</w:t>
      </w:r>
    </w:p>
    <w:p w14:paraId="5DE46856">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一、活动主题</w:t>
      </w:r>
    </w:p>
    <w:p w14:paraId="092946FB">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人人讲安全、个个会应急——排查整治风险隐患。</w:t>
      </w:r>
    </w:p>
    <w:p w14:paraId="3D041A2A">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二、活动目的</w:t>
      </w:r>
    </w:p>
    <w:p w14:paraId="7AD6E2B1">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以第25个全国安全生产月为契机，通过线上活动形式，提升建筑行业从业人员的安全意识，增强隐患排查能力，强化应急处理技能，营造良好的安全生产氛围，助力建筑行业安全生产水平的提升。</w:t>
      </w:r>
    </w:p>
    <w:p w14:paraId="79C6C6B3">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三、组织单位</w:t>
      </w:r>
    </w:p>
    <w:p w14:paraId="60BE286E">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主办单位：内蒙古自治区建筑业协会</w:t>
      </w:r>
    </w:p>
    <w:p w14:paraId="0DA76934">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协办单位：内蒙古鸿羽职业培训学校</w:t>
      </w:r>
    </w:p>
    <w:p w14:paraId="7159D82B">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四、活动内容</w:t>
      </w:r>
    </w:p>
    <w:p w14:paraId="7A542FFA">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各会员单位认真贯彻落实国家、自治区关于“安全生产月”活动的工作部署。深入宣传贯彻习近平总书记关于安全生产的重要论述和重要指示批示精神，全面领会其重大意义、丰富内涵、科学体系和实践要求，努力将学习成果转化为科学谋划安全生产工作的创新思路、解决短板问题的务实举措、防范遏制重特大事故的实战能力。强化我区建筑工地风险隐患排查与整改工作的质量。</w:t>
      </w:r>
    </w:p>
    <w:p w14:paraId="38D30C84">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召开全区建筑施工安全视频培训。聚焦建筑施工现场安全管理，重点讲解施工现场风险隐患管控要点、建筑施工预防高处坠落“十二必须”、建筑施工安全重点强制性管控措施，剖析典型安全生产事故案例，安全生产责任保险事故预防、报案理赔、风险处置等流程。</w:t>
      </w:r>
    </w:p>
    <w:p w14:paraId="6C65E611">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组织我区企业申报建设工程安全生产标准化工地学习交流活动。根据各盟市实际情况，因地制宜，组织开展好我区建设工程安全生产标准化工地学习交流工作，加强督促指导、跟踪服务，及时总结可复制、可推广、叫得响的经验，通过典型引路，推动安全生产标准化建设，提升我区施工企业安全管理标准化、工业化、数字化、绿色化水平。</w:t>
      </w:r>
    </w:p>
    <w:p w14:paraId="6A16C4CB">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（四）开展安全知识云课堂。组织开展系列讲座：邀请资深安全专家、行业学者录制安全生产法规解读、安全事故案例分析、安全风险防控要点等系列课程，定期在协会官网和微信公众号专栏推送。</w:t>
      </w:r>
    </w:p>
    <w:p w14:paraId="1C7FC6BD">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开展安全文化宣传活动。各盟市协会认真组织好本地区会员单位安全文化宣传教育活动，大力开展城镇燃气、既有建筑、建筑施工等重点领域安全宣传教育活动。鼓励各地结合地域和行业特点，以群众喜闻乐见的方式传播安全知识，树立正确的安全生产价值观，养成良好的安全生产习惯。</w:t>
      </w:r>
    </w:p>
    <w:p w14:paraId="057409C0">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五、其他事项</w:t>
      </w:r>
    </w:p>
    <w:p w14:paraId="351B82C6">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各盟市建筑业（行业）协会、满洲里市建筑业协会、会员单位收到通知后，应广泛宣传，积极动员并总结工作成效，确保活动取得实效。</w:t>
      </w:r>
    </w:p>
    <w:p w14:paraId="4B6F82A9">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六、联系方式</w:t>
      </w:r>
    </w:p>
    <w:p w14:paraId="3EAA0002">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 系 人：高鹏程</w:t>
      </w:r>
    </w:p>
    <w:p w14:paraId="39F9F851">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联系电话：0471-6682144</w:t>
      </w:r>
    </w:p>
    <w:p w14:paraId="46EE13A9">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箱：nmjxzlaqb@163.com</w:t>
      </w:r>
    </w:p>
    <w:p w14:paraId="3C0D906F">
      <w:pPr>
        <w:bidi w:val="0"/>
        <w:rPr>
          <w:rFonts w:hint="eastAsia" w:ascii="仿宋_GB2312" w:hAnsi="仿宋_GB2312" w:eastAsia="仿宋_GB2312" w:cs="仿宋_GB2312"/>
          <w:sz w:val="32"/>
          <w:szCs w:val="32"/>
          <w:lang w:eastAsia="zh-CN"/>
        </w:rPr>
      </w:pPr>
    </w:p>
    <w:p w14:paraId="4A94ED2A">
      <w:pPr>
        <w:bidi w:val="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内蒙古自治区建筑业协会</w:t>
      </w:r>
    </w:p>
    <w:p w14:paraId="0CBA924A">
      <w:pPr>
        <w:bidi w:val="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2026年6月3日</w:t>
      </w:r>
    </w:p>
    <w:p w14:paraId="69EDBA54"/>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104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9FCD1">
                          <w:pPr>
                            <w:pStyle w:val="2"/>
                            <w:rPr>
                              <w:rFonts w:hint="eastAsia" w:ascii="仿宋_GB2312" w:hAnsi="仿宋_GB2312" w:eastAsia="仿宋_GB2312" w:cs="仿宋_GB2312"/>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19FCD1">
                    <w:pPr>
                      <w:pStyle w:val="2"/>
                      <w:rPr>
                        <w:rFonts w:hint="eastAsia" w:ascii="仿宋_GB2312" w:hAnsi="仿宋_GB2312" w:eastAsia="仿宋_GB2312" w:cs="仿宋_GB2312"/>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91E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kcdz</dc:creator>
  <cp:lastModifiedBy>小赵</cp:lastModifiedBy>
  <dcterms:modified xsi:type="dcterms:W3CDTF">2026-06-04T03:38:42Z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eyJoZGlkIjoiNDA2ZjJlZmY1ZmU4MTMyYzk5NjdmMTJmNzJkOWNkM2IiLCJ1c2VySWQiOiI0NjAwNjUzMDAifQ==</vt:lpwstr>
  </property>
  <property fmtid="{D5CDD505-2E9C-101B-9397-08002B2CF9AE}" pid="4" name="ICV">
    <vt:lpwstr>21CD15B1B67D43D1853E01EF83F567DD_12</vt:lpwstr>
  </property>
</Properties>
</file>