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24602">
      <w:pPr>
        <w:rPr>
          <w:rFonts w:hint="eastAsia" w:ascii="黑体" w:hAnsi="黑体" w:eastAsia="黑体" w:cs="黑体"/>
          <w:b w:val="0"/>
          <w:bCs w:val="0"/>
          <w:color w:val="auto"/>
          <w:sz w:val="32"/>
          <w:szCs w:val="32"/>
          <w:lang w:val="en-US" w:eastAsia="zh-CN"/>
        </w:rPr>
      </w:pPr>
      <w:bookmarkStart w:id="0" w:name="_GoBack"/>
      <w:r>
        <w:rPr>
          <w:rFonts w:hint="eastAsia" w:ascii="黑体" w:hAnsi="黑体" w:eastAsia="黑体" w:cs="黑体"/>
          <w:b w:val="0"/>
          <w:bCs w:val="0"/>
          <w:color w:val="auto"/>
          <w:sz w:val="32"/>
          <w:szCs w:val="32"/>
          <w:lang w:val="en-US" w:eastAsia="zh-CN"/>
        </w:rPr>
        <w:t>附件5：</w:t>
      </w:r>
    </w:p>
    <w:p w14:paraId="53EA2830">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20</w:t>
      </w:r>
      <w:r>
        <w:rPr>
          <w:rFonts w:hint="eastAsia" w:ascii="方正小标宋简体" w:hAnsi="方正小标宋简体" w:eastAsia="方正小标宋简体" w:cs="方正小标宋简体"/>
          <w:color w:val="auto"/>
          <w:sz w:val="52"/>
          <w:szCs w:val="52"/>
          <w:u w:val="single"/>
          <w:lang w:val="en-US" w:eastAsia="zh-CN"/>
        </w:rPr>
        <w:t xml:space="preserve">   </w:t>
      </w:r>
      <w:r>
        <w:rPr>
          <w:rFonts w:hint="eastAsia" w:ascii="方正小标宋简体" w:hAnsi="方正小标宋简体" w:eastAsia="方正小标宋简体" w:cs="方正小标宋简体"/>
          <w:color w:val="auto"/>
          <w:sz w:val="52"/>
          <w:szCs w:val="52"/>
          <w:lang w:val="en-US" w:eastAsia="zh-CN"/>
        </w:rPr>
        <w:t>年度鄂尔多斯市</w:t>
      </w:r>
    </w:p>
    <w:p w14:paraId="027D8A0C">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绿色施工工程实施过程</w:t>
      </w:r>
    </w:p>
    <w:p w14:paraId="0BB2A3C7">
      <w:pPr>
        <w:jc w:val="center"/>
        <w:rPr>
          <w:rFonts w:hint="eastAsia" w:ascii="方正小标宋简体" w:hAnsi="方正小标宋简体" w:eastAsia="方正小标宋简体" w:cs="方正小标宋简体"/>
          <w:color w:val="auto"/>
          <w:sz w:val="44"/>
          <w:szCs w:val="44"/>
          <w:lang w:val="en-US" w:eastAsia="zh-CN"/>
        </w:rPr>
      </w:pPr>
    </w:p>
    <w:p w14:paraId="3F7092BC">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自</w:t>
      </w:r>
    </w:p>
    <w:p w14:paraId="1AB46AC5">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评</w:t>
      </w:r>
    </w:p>
    <w:p w14:paraId="11A87FCE">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价</w:t>
      </w:r>
    </w:p>
    <w:p w14:paraId="5F97841A">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52"/>
          <w:szCs w:val="52"/>
          <w:lang w:val="en-US" w:eastAsia="zh-CN"/>
        </w:rPr>
        <w:t>表</w:t>
      </w:r>
    </w:p>
    <w:p w14:paraId="34D52996">
      <w:pPr>
        <w:ind w:firstLine="880" w:firstLineChars="200"/>
        <w:jc w:val="both"/>
        <w:rPr>
          <w:rFonts w:hint="eastAsia" w:ascii="方正小标宋简体" w:hAnsi="方正小标宋简体" w:eastAsia="方正小标宋简体" w:cs="方正小标宋简体"/>
          <w:b w:val="0"/>
          <w:bCs w:val="0"/>
          <w:color w:val="auto"/>
          <w:sz w:val="44"/>
          <w:szCs w:val="44"/>
          <w:lang w:val="en-US" w:eastAsia="zh-CN"/>
        </w:rPr>
      </w:pPr>
    </w:p>
    <w:p w14:paraId="05582FED">
      <w:pPr>
        <w:ind w:firstLine="640" w:firstLineChars="200"/>
        <w:rPr>
          <w:rFonts w:hint="eastAsia" w:ascii="仿宋" w:hAnsi="仿宋" w:eastAsia="仿宋" w:cs="仿宋"/>
          <w:b w:val="0"/>
          <w:bCs w:val="0"/>
          <w:color w:val="auto"/>
          <w:sz w:val="32"/>
          <w:szCs w:val="32"/>
          <w:lang w:val="en-US" w:eastAsia="zh-CN"/>
        </w:rPr>
      </w:pPr>
    </w:p>
    <w:p w14:paraId="79613F57">
      <w:pPr>
        <w:ind w:firstLine="640" w:firstLineChars="200"/>
        <w:rPr>
          <w:rFonts w:hint="default"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val="en-US" w:eastAsia="zh-CN"/>
        </w:rPr>
        <w:t>工程名称：</w:t>
      </w:r>
      <w:r>
        <w:rPr>
          <w:rFonts w:hint="eastAsia" w:ascii="仿宋" w:hAnsi="仿宋" w:eastAsia="仿宋" w:cs="仿宋"/>
          <w:b w:val="0"/>
          <w:bCs w:val="0"/>
          <w:color w:val="auto"/>
          <w:sz w:val="32"/>
          <w:szCs w:val="32"/>
          <w:u w:val="single"/>
          <w:lang w:val="en-US" w:eastAsia="zh-CN"/>
        </w:rPr>
        <w:t xml:space="preserve">                               </w:t>
      </w:r>
    </w:p>
    <w:p w14:paraId="6EF9FC10">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工程类别：建筑□  市政□  交通□  </w:t>
      </w:r>
    </w:p>
    <w:p w14:paraId="5412D58F">
      <w:pPr>
        <w:ind w:firstLine="2240" w:firstLineChars="700"/>
        <w:rPr>
          <w:rFonts w:hint="default" w:ascii="方正小标宋简体" w:hAnsi="方正小标宋简体" w:eastAsia="方正小标宋简体" w:cs="方正小标宋简体"/>
          <w:color w:val="auto"/>
          <w:sz w:val="44"/>
          <w:szCs w:val="44"/>
          <w:lang w:val="en-US" w:eastAsia="zh-CN"/>
        </w:rPr>
      </w:pPr>
      <w:r>
        <w:rPr>
          <w:rFonts w:hint="eastAsia" w:ascii="仿宋" w:hAnsi="仿宋" w:eastAsia="仿宋" w:cs="仿宋"/>
          <w:b w:val="0"/>
          <w:bCs w:val="0"/>
          <w:color w:val="auto"/>
          <w:sz w:val="32"/>
          <w:szCs w:val="32"/>
          <w:lang w:val="en-US" w:eastAsia="zh-CN"/>
        </w:rPr>
        <w:t>水利□  电力□  其他□</w:t>
      </w:r>
    </w:p>
    <w:p w14:paraId="293C6327">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主申报单位（公章）：</w:t>
      </w:r>
      <w:r>
        <w:rPr>
          <w:rFonts w:hint="eastAsia" w:ascii="仿宋" w:hAnsi="仿宋" w:eastAsia="仿宋" w:cs="仿宋"/>
          <w:b w:val="0"/>
          <w:bCs w:val="0"/>
          <w:color w:val="auto"/>
          <w:sz w:val="32"/>
          <w:szCs w:val="32"/>
          <w:u w:val="single"/>
          <w:lang w:val="en-US" w:eastAsia="zh-CN"/>
        </w:rPr>
        <w:t xml:space="preserve">                       </w:t>
      </w:r>
    </w:p>
    <w:p w14:paraId="76CF785F">
      <w:p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申   报   时   间：       年    月    日  </w:t>
      </w:r>
    </w:p>
    <w:p w14:paraId="04398D99">
      <w:pPr>
        <w:ind w:firstLine="880" w:firstLineChars="200"/>
        <w:rPr>
          <w:rFonts w:hint="eastAsia" w:ascii="方正小标宋简体" w:hAnsi="方正小标宋简体" w:eastAsia="方正小标宋简体" w:cs="方正小标宋简体"/>
          <w:b w:val="0"/>
          <w:bCs w:val="0"/>
          <w:color w:val="auto"/>
          <w:sz w:val="44"/>
          <w:szCs w:val="44"/>
          <w:lang w:val="en-US" w:eastAsia="zh-CN"/>
        </w:rPr>
      </w:pPr>
    </w:p>
    <w:p w14:paraId="2E3336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鄂尔多斯建筑业协会制</w:t>
      </w:r>
    </w:p>
    <w:p w14:paraId="69434A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
          <w:kern w:val="2"/>
          <w:sz w:val="36"/>
          <w:szCs w:val="36"/>
          <w:lang w:val="en-US" w:eastAsia="zh-CN" w:bidi="ar-SA"/>
        </w:rPr>
      </w:pPr>
      <w:r>
        <w:rPr>
          <w:rFonts w:hint="eastAsia" w:ascii="仿宋" w:hAnsi="仿宋" w:eastAsia="仿宋" w:cs="仿宋"/>
          <w:b w:val="0"/>
          <w:bCs w:val="0"/>
          <w:color w:val="auto"/>
          <w:sz w:val="32"/>
          <w:szCs w:val="32"/>
          <w:lang w:val="en-US" w:eastAsia="zh-CN"/>
        </w:rPr>
        <w:br w:type="page"/>
      </w:r>
      <w:r>
        <w:rPr>
          <w:rFonts w:hint="eastAsia" w:ascii="方正小标宋简体" w:hAnsi="方正小标宋简体" w:eastAsia="方正小标宋简体" w:cs="方正小标宋简体"/>
          <w:b w:val="0"/>
          <w:bCs w:val="0"/>
          <w:color w:val="auto"/>
          <w:spacing w:val="-2"/>
          <w:kern w:val="2"/>
          <w:sz w:val="36"/>
          <w:szCs w:val="36"/>
          <w:lang w:val="en-US" w:eastAsia="zh-CN" w:bidi="ar-SA"/>
        </w:rPr>
        <w:t>鄂尔多斯市绿色施工工程施工单位</w:t>
      </w:r>
    </w:p>
    <w:p w14:paraId="2B0D6F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
          <w:kern w:val="2"/>
          <w:sz w:val="36"/>
          <w:szCs w:val="36"/>
          <w:lang w:val="en-US" w:eastAsia="zh-CN" w:bidi="ar-SA"/>
        </w:rPr>
      </w:pPr>
      <w:r>
        <w:rPr>
          <w:rFonts w:hint="eastAsia" w:ascii="方正小标宋简体" w:hAnsi="方正小标宋简体" w:eastAsia="方正小标宋简体" w:cs="方正小标宋简体"/>
          <w:b w:val="0"/>
          <w:bCs w:val="0"/>
          <w:color w:val="auto"/>
          <w:spacing w:val="-2"/>
          <w:kern w:val="2"/>
          <w:sz w:val="36"/>
          <w:szCs w:val="36"/>
          <w:lang w:val="en-US" w:eastAsia="zh-CN" w:bidi="ar-SA"/>
        </w:rPr>
        <w:t>“单位工程绿色施工自评价表”用表说明</w:t>
      </w:r>
    </w:p>
    <w:p w14:paraId="47A667A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0"/>
        <w:rPr>
          <w:rFonts w:hint="eastAsia" w:ascii="仿宋" w:hAnsi="仿宋" w:eastAsia="仿宋" w:cs="仿宋"/>
          <w:color w:val="auto"/>
          <w:sz w:val="30"/>
          <w:szCs w:val="30"/>
          <w:lang w:val="en-US" w:eastAsia="zh-CN"/>
        </w:rPr>
      </w:pPr>
    </w:p>
    <w:p w14:paraId="6B10D09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已通过申请资料审查的工程项目，在绿色施工实施过程中，项目部应开展绿色施工自评价工作，包括批次评价、阶段评价和单位工程评价工作。</w:t>
      </w:r>
    </w:p>
    <w:p w14:paraId="3C7E5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（一）批次评价。</w:t>
      </w:r>
      <w:r>
        <w:rPr>
          <w:rFonts w:hint="eastAsia" w:ascii="仿宋" w:hAnsi="仿宋" w:eastAsia="仿宋" w:cs="仿宋"/>
          <w:color w:val="auto"/>
          <w:sz w:val="30"/>
          <w:szCs w:val="30"/>
          <w:lang w:val="en-US" w:eastAsia="zh-CN"/>
        </w:rPr>
        <w:t>由施工单位组织，建设单位和监理单位参加，每季度不少于1次且每阶段至少1次评价，评价结果应由建设、监理、施工单位三方签认。</w:t>
      </w:r>
    </w:p>
    <w:p w14:paraId="4BAFD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2" w:leftChars="0"/>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（二）阶段评价。</w:t>
      </w:r>
      <w:r>
        <w:rPr>
          <w:rFonts w:hint="eastAsia" w:ascii="仿宋" w:hAnsi="仿宋" w:eastAsia="仿宋" w:cs="仿宋"/>
          <w:color w:val="auto"/>
          <w:sz w:val="30"/>
          <w:szCs w:val="30"/>
          <w:lang w:val="en-US" w:eastAsia="zh-CN"/>
        </w:rPr>
        <w:t>由建设单位或监理单位组织，建设、监理</w:t>
      </w:r>
    </w:p>
    <w:p w14:paraId="321A42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和施工单位共同参与对建设工程各阶段的绿色施工进行评价。阶段评价主要是对施工单位批次评价结果的复检，评价结果应由建设、监理、施工单位三方签认。</w:t>
      </w:r>
    </w:p>
    <w:p w14:paraId="24F4EA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jc w:val="center"/>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单位工程评价。</w:t>
      </w:r>
      <w:r>
        <w:rPr>
          <w:rFonts w:hint="eastAsia" w:ascii="仿宋" w:hAnsi="仿宋" w:eastAsia="仿宋" w:cs="仿宋"/>
          <w:color w:val="auto"/>
          <w:sz w:val="30"/>
          <w:szCs w:val="30"/>
          <w:lang w:val="en-US" w:eastAsia="zh-CN"/>
        </w:rPr>
        <w:t>由建设单位组织，施工和监理单位参</w:t>
      </w:r>
    </w:p>
    <w:p w14:paraId="5C2D40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加，评价结果应由建设、监理、施工单位三方签认。</w:t>
      </w:r>
    </w:p>
    <w:p w14:paraId="15FC8E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outlineLvl w:val="0"/>
        <w:rPr>
          <w:rFonts w:hint="default"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（四）表中“标准条款”栏内容</w:t>
      </w:r>
      <w:r>
        <w:rPr>
          <w:rFonts w:hint="eastAsia" w:ascii="仿宋" w:hAnsi="仿宋" w:eastAsia="仿宋" w:cs="仿宋"/>
          <w:color w:val="auto"/>
          <w:sz w:val="30"/>
          <w:szCs w:val="30"/>
          <w:lang w:val="en-US" w:eastAsia="zh-CN"/>
        </w:rPr>
        <w:t>是指《建筑与市政工程绿色施工评价标准》（GB/T50640-2023）中对应条款。</w:t>
      </w:r>
    </w:p>
    <w:p w14:paraId="6A0203FF">
      <w:pPr>
        <w:ind w:firstLine="602" w:firstLineChars="200"/>
        <w:rPr>
          <w:rFonts w:hint="default"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（五）</w:t>
      </w:r>
      <w:r>
        <w:rPr>
          <w:rFonts w:hint="eastAsia" w:ascii="仿宋" w:hAnsi="仿宋" w:eastAsia="仿宋" w:cs="仿宋"/>
          <w:color w:val="auto"/>
          <w:sz w:val="30"/>
          <w:szCs w:val="30"/>
          <w:lang w:val="en-US" w:eastAsia="zh-CN"/>
        </w:rPr>
        <w:t>附表一：“基本规定评价表”符合填“√”,不符合填“×”,没有发生填“/”。</w:t>
      </w:r>
    </w:p>
    <w:p w14:paraId="72E68682">
      <w:pPr>
        <w:ind w:firstLine="602" w:firstLineChars="200"/>
        <w:rPr>
          <w:rFonts w:hint="eastAsia" w:ascii="方正小标宋简体" w:hAnsi="方正小标宋简体" w:eastAsia="方正小标宋简体" w:cs="方正小标宋简体"/>
          <w:color w:val="auto"/>
          <w:sz w:val="72"/>
          <w:szCs w:val="72"/>
          <w:lang w:val="en-US" w:eastAsia="zh-CN"/>
        </w:rPr>
      </w:pPr>
      <w:r>
        <w:rPr>
          <w:rFonts w:hint="eastAsia" w:ascii="仿宋" w:hAnsi="仿宋" w:eastAsia="仿宋" w:cs="仿宋"/>
          <w:b/>
          <w:bCs/>
          <w:color w:val="auto"/>
          <w:sz w:val="30"/>
          <w:szCs w:val="30"/>
          <w:lang w:val="en-US" w:eastAsia="zh-CN"/>
        </w:rPr>
        <w:t>（六）</w:t>
      </w:r>
      <w:r>
        <w:rPr>
          <w:rFonts w:hint="eastAsia" w:ascii="仿宋" w:hAnsi="仿宋" w:eastAsia="仿宋" w:cs="仿宋"/>
          <w:color w:val="auto"/>
          <w:sz w:val="30"/>
          <w:szCs w:val="30"/>
          <w:lang w:val="en-US" w:eastAsia="zh-CN"/>
        </w:rPr>
        <w:t>单位工程评价汇总表（表2-7-1/5）未具体列出的工程参照执行。</w:t>
      </w:r>
    </w:p>
    <w:p w14:paraId="36E1890F">
      <w:pPr>
        <w:jc w:val="both"/>
        <w:rPr>
          <w:rFonts w:hint="eastAsia" w:ascii="方正小标宋简体" w:hAnsi="方正小标宋简体" w:eastAsia="方正小标宋简体" w:cs="方正小标宋简体"/>
          <w:b w:val="0"/>
          <w:bCs w:val="0"/>
          <w:color w:val="auto"/>
          <w:sz w:val="44"/>
          <w:szCs w:val="44"/>
          <w:lang w:val="en-US" w:eastAsia="zh-CN"/>
        </w:rPr>
      </w:pPr>
    </w:p>
    <w:p w14:paraId="2BFFB538">
      <w:pPr>
        <w:rPr>
          <w:rFonts w:hint="eastAsia" w:ascii="华文中宋" w:hAnsi="华文中宋" w:eastAsia="华文中宋" w:cs="仿宋_GB2312"/>
          <w:color w:val="auto"/>
          <w:sz w:val="28"/>
          <w:szCs w:val="28"/>
          <w:lang w:val="en-US" w:eastAsia="zh-CN"/>
        </w:rPr>
      </w:pPr>
      <w:r>
        <w:rPr>
          <w:rFonts w:hint="eastAsia" w:ascii="华文中宋" w:hAnsi="华文中宋" w:eastAsia="华文中宋" w:cs="仿宋_GB2312"/>
          <w:color w:val="auto"/>
          <w:sz w:val="28"/>
          <w:szCs w:val="28"/>
          <w:lang w:val="en-US" w:eastAsia="zh-CN"/>
        </w:rPr>
        <w:br w:type="page"/>
      </w:r>
      <w:r>
        <w:rPr>
          <w:rFonts w:hint="eastAsia" w:ascii="华文中宋" w:hAnsi="华文中宋" w:eastAsia="华文中宋" w:cs="仿宋_GB2312"/>
          <w:color w:val="auto"/>
          <w:sz w:val="28"/>
          <w:szCs w:val="28"/>
          <w:lang w:val="en-US" w:eastAsia="zh-CN"/>
        </w:rPr>
        <w:t>附表一：</w:t>
      </w:r>
    </w:p>
    <w:p w14:paraId="05E31603">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基本规定评价表</w:t>
      </w:r>
    </w:p>
    <w:tbl>
      <w:tblPr>
        <w:tblStyle w:val="7"/>
        <w:tblW w:w="10065" w:type="dxa"/>
        <w:tblInd w:w="-8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415"/>
        <w:gridCol w:w="1415"/>
        <w:gridCol w:w="1415"/>
        <w:gridCol w:w="294"/>
        <w:gridCol w:w="1121"/>
        <w:gridCol w:w="640"/>
        <w:gridCol w:w="775"/>
        <w:gridCol w:w="1415"/>
      </w:tblGrid>
      <w:tr w14:paraId="0C75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575" w:type="dxa"/>
            <w:noWrap w:val="0"/>
            <w:vAlign w:val="center"/>
          </w:tcPr>
          <w:p w14:paraId="4ECE5B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工程名称</w:t>
            </w:r>
          </w:p>
        </w:tc>
        <w:tc>
          <w:tcPr>
            <w:tcW w:w="8490" w:type="dxa"/>
            <w:gridSpan w:val="8"/>
            <w:noWrap w:val="0"/>
            <w:vAlign w:val="top"/>
          </w:tcPr>
          <w:p w14:paraId="47E671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824B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75" w:type="dxa"/>
            <w:noWrap w:val="0"/>
            <w:vAlign w:val="center"/>
          </w:tcPr>
          <w:p w14:paraId="148698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施工单位</w:t>
            </w:r>
          </w:p>
        </w:tc>
        <w:tc>
          <w:tcPr>
            <w:tcW w:w="8490" w:type="dxa"/>
            <w:gridSpan w:val="8"/>
            <w:noWrap w:val="0"/>
            <w:vAlign w:val="top"/>
          </w:tcPr>
          <w:p w14:paraId="129EAF8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88B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75" w:type="dxa"/>
            <w:noWrap w:val="0"/>
            <w:vAlign w:val="center"/>
          </w:tcPr>
          <w:p w14:paraId="2C6C64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工程所在地</w:t>
            </w:r>
          </w:p>
        </w:tc>
        <w:tc>
          <w:tcPr>
            <w:tcW w:w="8490" w:type="dxa"/>
            <w:gridSpan w:val="8"/>
            <w:noWrap w:val="0"/>
            <w:vAlign w:val="top"/>
          </w:tcPr>
          <w:p w14:paraId="4112D6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EDB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75" w:type="dxa"/>
            <w:noWrap w:val="0"/>
            <w:vAlign w:val="center"/>
          </w:tcPr>
          <w:p w14:paraId="4DB7D2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评价编号</w:t>
            </w:r>
          </w:p>
          <w:p w14:paraId="0EF86B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(批次/阶段)</w:t>
            </w:r>
          </w:p>
        </w:tc>
        <w:tc>
          <w:tcPr>
            <w:tcW w:w="4539" w:type="dxa"/>
            <w:gridSpan w:val="4"/>
            <w:noWrap w:val="0"/>
            <w:vAlign w:val="center"/>
          </w:tcPr>
          <w:p w14:paraId="6999CD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1761" w:type="dxa"/>
            <w:gridSpan w:val="2"/>
            <w:noWrap w:val="0"/>
            <w:vAlign w:val="center"/>
          </w:tcPr>
          <w:p w14:paraId="0D94ED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施工阶段</w:t>
            </w:r>
          </w:p>
        </w:tc>
        <w:tc>
          <w:tcPr>
            <w:tcW w:w="2190" w:type="dxa"/>
            <w:gridSpan w:val="2"/>
            <w:noWrap w:val="0"/>
            <w:vAlign w:val="top"/>
          </w:tcPr>
          <w:p w14:paraId="537012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0AC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5" w:type="dxa"/>
            <w:tcBorders>
              <w:right w:val="single" w:color="auto" w:sz="4" w:space="0"/>
            </w:tcBorders>
            <w:noWrap w:val="0"/>
            <w:vAlign w:val="center"/>
          </w:tcPr>
          <w:p w14:paraId="0F4CCF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工程类别</w:t>
            </w:r>
          </w:p>
        </w:tc>
        <w:tc>
          <w:tcPr>
            <w:tcW w:w="4539" w:type="dxa"/>
            <w:gridSpan w:val="4"/>
            <w:tcBorders>
              <w:left w:val="single" w:color="auto" w:sz="4" w:space="0"/>
            </w:tcBorders>
            <w:noWrap w:val="0"/>
            <w:vAlign w:val="center"/>
          </w:tcPr>
          <w:p w14:paraId="355994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建筑□市政□</w:t>
            </w:r>
            <w:r>
              <w:rPr>
                <w:rFonts w:hint="eastAsia" w:ascii="仿宋_GB2312" w:hAnsi="仿宋_GB2312" w:eastAsia="仿宋_GB2312" w:cs="仿宋_GB2312"/>
                <w:color w:val="auto"/>
                <w:spacing w:val="-2"/>
                <w:sz w:val="24"/>
                <w:szCs w:val="24"/>
                <w:lang w:eastAsia="zh-CN"/>
              </w:rPr>
              <w:t>其他</w:t>
            </w:r>
            <w:r>
              <w:rPr>
                <w:rFonts w:hint="eastAsia" w:ascii="仿宋_GB2312" w:hAnsi="仿宋_GB2312" w:eastAsia="仿宋_GB2312" w:cs="仿宋_GB2312"/>
                <w:color w:val="auto"/>
                <w:spacing w:val="-2"/>
                <w:sz w:val="24"/>
                <w:szCs w:val="24"/>
              </w:rPr>
              <w:t>□</w:t>
            </w:r>
          </w:p>
        </w:tc>
        <w:tc>
          <w:tcPr>
            <w:tcW w:w="1761" w:type="dxa"/>
            <w:gridSpan w:val="2"/>
            <w:noWrap w:val="0"/>
            <w:vAlign w:val="center"/>
          </w:tcPr>
          <w:p w14:paraId="5648E0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lang w:eastAsia="zh-CN"/>
              </w:rPr>
            </w:pPr>
            <w:r>
              <w:rPr>
                <w:rFonts w:hint="eastAsia" w:ascii="仿宋_GB2312" w:hAnsi="仿宋_GB2312" w:eastAsia="仿宋_GB2312" w:cs="仿宋_GB2312"/>
                <w:color w:val="auto"/>
                <w:spacing w:val="-2"/>
                <w:sz w:val="24"/>
                <w:szCs w:val="24"/>
                <w:lang w:eastAsia="zh-CN"/>
              </w:rPr>
              <w:t>评价时间</w:t>
            </w:r>
          </w:p>
        </w:tc>
        <w:tc>
          <w:tcPr>
            <w:tcW w:w="2190" w:type="dxa"/>
            <w:gridSpan w:val="2"/>
            <w:noWrap w:val="0"/>
            <w:vAlign w:val="top"/>
          </w:tcPr>
          <w:p w14:paraId="5C9967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4D6AD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75" w:type="dxa"/>
            <w:noWrap w:val="0"/>
            <w:vAlign w:val="center"/>
          </w:tcPr>
          <w:p w14:paraId="5C1AEE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标准条款</w:t>
            </w:r>
          </w:p>
        </w:tc>
        <w:tc>
          <w:tcPr>
            <w:tcW w:w="4539" w:type="dxa"/>
            <w:gridSpan w:val="4"/>
            <w:noWrap w:val="0"/>
            <w:vAlign w:val="center"/>
          </w:tcPr>
          <w:p w14:paraId="5F45C1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基本内容</w:t>
            </w:r>
          </w:p>
        </w:tc>
        <w:tc>
          <w:tcPr>
            <w:tcW w:w="1761" w:type="dxa"/>
            <w:gridSpan w:val="2"/>
            <w:noWrap w:val="0"/>
            <w:vAlign w:val="center"/>
          </w:tcPr>
          <w:p w14:paraId="2FD919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评价标准</w:t>
            </w:r>
          </w:p>
        </w:tc>
        <w:tc>
          <w:tcPr>
            <w:tcW w:w="2190" w:type="dxa"/>
            <w:gridSpan w:val="2"/>
            <w:noWrap w:val="0"/>
            <w:vAlign w:val="center"/>
          </w:tcPr>
          <w:p w14:paraId="2962B4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结论</w:t>
            </w:r>
          </w:p>
        </w:tc>
      </w:tr>
      <w:tr w14:paraId="23DB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575" w:type="dxa"/>
            <w:noWrap w:val="0"/>
            <w:vAlign w:val="center"/>
          </w:tcPr>
          <w:p w14:paraId="41D1BA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3.1</w:t>
            </w:r>
          </w:p>
        </w:tc>
        <w:tc>
          <w:tcPr>
            <w:tcW w:w="4539" w:type="dxa"/>
            <w:gridSpan w:val="4"/>
            <w:noWrap w:val="0"/>
            <w:vAlign w:val="center"/>
          </w:tcPr>
          <w:p w14:paraId="5C349F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实施组织</w:t>
            </w:r>
          </w:p>
        </w:tc>
        <w:tc>
          <w:tcPr>
            <w:tcW w:w="1761" w:type="dxa"/>
            <w:gridSpan w:val="2"/>
            <w:vMerge w:val="restart"/>
            <w:noWrap w:val="0"/>
            <w:vAlign w:val="center"/>
          </w:tcPr>
          <w:p w14:paraId="2D2587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措施到位，全部满足要求，进入环保、节约、人力资源节约和保护要素评分流程；否则，一票否决，为绿色施工不合格</w:t>
            </w:r>
          </w:p>
        </w:tc>
        <w:tc>
          <w:tcPr>
            <w:tcW w:w="2190" w:type="dxa"/>
            <w:gridSpan w:val="2"/>
            <w:noWrap w:val="0"/>
            <w:vAlign w:val="center"/>
          </w:tcPr>
          <w:p w14:paraId="6D99D9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77F4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575" w:type="dxa"/>
            <w:noWrap w:val="0"/>
            <w:vAlign w:val="center"/>
          </w:tcPr>
          <w:p w14:paraId="2DA91A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3.1.1</w:t>
            </w:r>
          </w:p>
        </w:tc>
        <w:tc>
          <w:tcPr>
            <w:tcW w:w="4539" w:type="dxa"/>
            <w:gridSpan w:val="4"/>
            <w:noWrap w:val="0"/>
            <w:vAlign w:val="center"/>
          </w:tcPr>
          <w:p w14:paraId="1F5F95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总承包单位应对工程项目的绿色施工负总责</w:t>
            </w:r>
          </w:p>
        </w:tc>
        <w:tc>
          <w:tcPr>
            <w:tcW w:w="1761" w:type="dxa"/>
            <w:gridSpan w:val="2"/>
            <w:vMerge w:val="continue"/>
            <w:noWrap w:val="0"/>
            <w:vAlign w:val="center"/>
          </w:tcPr>
          <w:p w14:paraId="00609A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2E5A30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BBE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575" w:type="dxa"/>
            <w:noWrap w:val="0"/>
            <w:vAlign w:val="center"/>
          </w:tcPr>
          <w:p w14:paraId="341A12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3.1.2</w:t>
            </w:r>
          </w:p>
        </w:tc>
        <w:tc>
          <w:tcPr>
            <w:tcW w:w="4539" w:type="dxa"/>
            <w:gridSpan w:val="4"/>
            <w:noWrap w:val="0"/>
            <w:vAlign w:val="center"/>
          </w:tcPr>
          <w:p w14:paraId="07EDDD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分包单位应对承包范围内的工程项目绿色施工负责</w:t>
            </w:r>
          </w:p>
        </w:tc>
        <w:tc>
          <w:tcPr>
            <w:tcW w:w="1761" w:type="dxa"/>
            <w:gridSpan w:val="2"/>
            <w:vMerge w:val="continue"/>
            <w:noWrap w:val="0"/>
            <w:vAlign w:val="center"/>
          </w:tcPr>
          <w:p w14:paraId="6B1179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73399F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F81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575" w:type="dxa"/>
            <w:noWrap w:val="0"/>
            <w:vAlign w:val="center"/>
          </w:tcPr>
          <w:p w14:paraId="338215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3.1.3</w:t>
            </w:r>
          </w:p>
        </w:tc>
        <w:tc>
          <w:tcPr>
            <w:tcW w:w="4539" w:type="dxa"/>
            <w:gridSpan w:val="4"/>
            <w:noWrap w:val="0"/>
            <w:vAlign w:val="center"/>
          </w:tcPr>
          <w:p w14:paraId="12824F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项目部应建立以项目经理为第一责任人的绿色施工管理体系</w:t>
            </w:r>
          </w:p>
        </w:tc>
        <w:tc>
          <w:tcPr>
            <w:tcW w:w="1761" w:type="dxa"/>
            <w:gridSpan w:val="2"/>
            <w:vMerge w:val="continue"/>
            <w:noWrap w:val="0"/>
            <w:vAlign w:val="center"/>
          </w:tcPr>
          <w:p w14:paraId="0E08D6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4A83F5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41B7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575" w:type="dxa"/>
            <w:noWrap w:val="0"/>
            <w:vAlign w:val="center"/>
          </w:tcPr>
          <w:p w14:paraId="26EE2D3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3.2</w:t>
            </w:r>
          </w:p>
        </w:tc>
        <w:tc>
          <w:tcPr>
            <w:tcW w:w="4539" w:type="dxa"/>
            <w:gridSpan w:val="4"/>
            <w:noWrap w:val="0"/>
            <w:vAlign w:val="center"/>
          </w:tcPr>
          <w:p w14:paraId="44025F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绿色施工策划</w:t>
            </w:r>
          </w:p>
        </w:tc>
        <w:tc>
          <w:tcPr>
            <w:tcW w:w="1761" w:type="dxa"/>
            <w:gridSpan w:val="2"/>
            <w:vMerge w:val="continue"/>
            <w:noWrap w:val="0"/>
            <w:vAlign w:val="center"/>
          </w:tcPr>
          <w:p w14:paraId="3ED309D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420E19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A738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575" w:type="dxa"/>
            <w:noWrap w:val="0"/>
            <w:vAlign w:val="center"/>
          </w:tcPr>
          <w:p w14:paraId="7C6A17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3.2.1</w:t>
            </w:r>
          </w:p>
        </w:tc>
        <w:tc>
          <w:tcPr>
            <w:tcW w:w="4539" w:type="dxa"/>
            <w:gridSpan w:val="4"/>
            <w:noWrap w:val="0"/>
            <w:vAlign w:val="center"/>
          </w:tcPr>
          <w:p w14:paraId="5F9D28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工程项目开工前，项目部应进行绿色施工影响因素分析，明确绿色施工目标</w:t>
            </w:r>
          </w:p>
        </w:tc>
        <w:tc>
          <w:tcPr>
            <w:tcW w:w="1761" w:type="dxa"/>
            <w:gridSpan w:val="2"/>
            <w:vMerge w:val="continue"/>
            <w:noWrap w:val="0"/>
            <w:vAlign w:val="center"/>
          </w:tcPr>
          <w:p w14:paraId="6C4C21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1D2487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04A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575" w:type="dxa"/>
            <w:noWrap w:val="0"/>
            <w:vAlign w:val="center"/>
          </w:tcPr>
          <w:p w14:paraId="73B274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3.2.2</w:t>
            </w:r>
          </w:p>
        </w:tc>
        <w:tc>
          <w:tcPr>
            <w:tcW w:w="4539" w:type="dxa"/>
            <w:gridSpan w:val="4"/>
            <w:noWrap w:val="0"/>
            <w:vAlign w:val="top"/>
          </w:tcPr>
          <w:p w14:paraId="69AACE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项目部应依据绿色施工影响因素的分析结果进行绿色施工策划，并应对绿色施工评价要素中的评价条款进行取舍</w:t>
            </w:r>
          </w:p>
        </w:tc>
        <w:tc>
          <w:tcPr>
            <w:tcW w:w="1761" w:type="dxa"/>
            <w:gridSpan w:val="2"/>
            <w:vMerge w:val="continue"/>
            <w:noWrap w:val="0"/>
            <w:vAlign w:val="top"/>
          </w:tcPr>
          <w:p w14:paraId="0DDA2C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3023BF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0F09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575" w:type="dxa"/>
            <w:noWrap w:val="0"/>
            <w:vAlign w:val="center"/>
          </w:tcPr>
          <w:p w14:paraId="671559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3.2.3</w:t>
            </w:r>
          </w:p>
        </w:tc>
        <w:tc>
          <w:tcPr>
            <w:tcW w:w="4539" w:type="dxa"/>
            <w:gridSpan w:val="4"/>
            <w:noWrap w:val="0"/>
            <w:vAlign w:val="top"/>
          </w:tcPr>
          <w:p w14:paraId="5C65AA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绿色施工策划应通过绿色施工组织设计、绿色施工方案和绿色施工技术交底等文件的编制实现</w:t>
            </w:r>
          </w:p>
        </w:tc>
        <w:tc>
          <w:tcPr>
            <w:tcW w:w="1761" w:type="dxa"/>
            <w:gridSpan w:val="2"/>
            <w:vMerge w:val="continue"/>
            <w:noWrap w:val="0"/>
            <w:vAlign w:val="top"/>
          </w:tcPr>
          <w:p w14:paraId="3AB011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68B2F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2F01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575" w:type="dxa"/>
            <w:noWrap w:val="0"/>
            <w:vAlign w:val="center"/>
          </w:tcPr>
          <w:p w14:paraId="6F8478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3.2.4</w:t>
            </w:r>
          </w:p>
        </w:tc>
        <w:tc>
          <w:tcPr>
            <w:tcW w:w="4539" w:type="dxa"/>
            <w:gridSpan w:val="4"/>
            <w:tcBorders>
              <w:bottom w:val="single" w:color="auto" w:sz="4" w:space="0"/>
            </w:tcBorders>
            <w:noWrap w:val="0"/>
            <w:vAlign w:val="center"/>
          </w:tcPr>
          <w:p w14:paraId="7B5E0E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绿色施工组织设计及其方案应包括技术和管理创新的内容及相应措施</w:t>
            </w:r>
          </w:p>
        </w:tc>
        <w:tc>
          <w:tcPr>
            <w:tcW w:w="1761" w:type="dxa"/>
            <w:gridSpan w:val="2"/>
            <w:vMerge w:val="continue"/>
            <w:noWrap w:val="0"/>
            <w:vAlign w:val="top"/>
          </w:tcPr>
          <w:p w14:paraId="37A8B9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bottom w:val="single" w:color="auto" w:sz="4" w:space="0"/>
            </w:tcBorders>
            <w:noWrap w:val="0"/>
            <w:vAlign w:val="top"/>
          </w:tcPr>
          <w:p w14:paraId="56B9C4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62A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75" w:type="dxa"/>
            <w:tcBorders>
              <w:right w:val="single" w:color="auto" w:sz="4" w:space="0"/>
            </w:tcBorders>
            <w:noWrap w:val="0"/>
            <w:vAlign w:val="center"/>
          </w:tcPr>
          <w:p w14:paraId="6A6148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3.3</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57A436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管理要求</w:t>
            </w:r>
          </w:p>
        </w:tc>
        <w:tc>
          <w:tcPr>
            <w:tcW w:w="1761" w:type="dxa"/>
            <w:gridSpan w:val="2"/>
            <w:vMerge w:val="continue"/>
            <w:noWrap w:val="0"/>
            <w:vAlign w:val="center"/>
          </w:tcPr>
          <w:p w14:paraId="11FC7B5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F7F9C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结论</w:t>
            </w:r>
          </w:p>
        </w:tc>
      </w:tr>
      <w:tr w14:paraId="5D66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575" w:type="dxa"/>
            <w:noWrap w:val="0"/>
            <w:vAlign w:val="center"/>
          </w:tcPr>
          <w:p w14:paraId="14010E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3.3.1</w:t>
            </w:r>
          </w:p>
        </w:tc>
        <w:tc>
          <w:tcPr>
            <w:tcW w:w="4539" w:type="dxa"/>
            <w:gridSpan w:val="4"/>
            <w:tcBorders>
              <w:top w:val="single" w:color="auto" w:sz="4" w:space="0"/>
            </w:tcBorders>
            <w:noWrap w:val="0"/>
            <w:vAlign w:val="center"/>
          </w:tcPr>
          <w:p w14:paraId="53B694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施工单位应对工程项目绿色施工进行检查</w:t>
            </w:r>
          </w:p>
        </w:tc>
        <w:tc>
          <w:tcPr>
            <w:tcW w:w="1761" w:type="dxa"/>
            <w:gridSpan w:val="2"/>
            <w:vMerge w:val="continue"/>
            <w:noWrap w:val="0"/>
            <w:vAlign w:val="center"/>
          </w:tcPr>
          <w:p w14:paraId="48876A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tcBorders>
            <w:noWrap w:val="0"/>
            <w:vAlign w:val="top"/>
          </w:tcPr>
          <w:p w14:paraId="53C5B6A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EF2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noWrap w:val="0"/>
            <w:vAlign w:val="center"/>
          </w:tcPr>
          <w:p w14:paraId="08B112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3.3.2</w:t>
            </w:r>
          </w:p>
        </w:tc>
        <w:tc>
          <w:tcPr>
            <w:tcW w:w="4539" w:type="dxa"/>
            <w:gridSpan w:val="4"/>
            <w:noWrap w:val="0"/>
            <w:vAlign w:val="center"/>
          </w:tcPr>
          <w:p w14:paraId="77B8A5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工程项目绿色施工应符合下列规定</w:t>
            </w:r>
          </w:p>
        </w:tc>
        <w:tc>
          <w:tcPr>
            <w:tcW w:w="1761" w:type="dxa"/>
            <w:gridSpan w:val="2"/>
            <w:vMerge w:val="continue"/>
            <w:noWrap w:val="0"/>
            <w:vAlign w:val="top"/>
          </w:tcPr>
          <w:p w14:paraId="0C69BB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18A649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7B23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57D296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1</w:t>
            </w:r>
          </w:p>
        </w:tc>
        <w:tc>
          <w:tcPr>
            <w:tcW w:w="4539" w:type="dxa"/>
            <w:gridSpan w:val="4"/>
            <w:noWrap w:val="0"/>
            <w:vAlign w:val="center"/>
          </w:tcPr>
          <w:p w14:paraId="2814354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建立健全的绿色施工管理体系和制度</w:t>
            </w:r>
          </w:p>
        </w:tc>
        <w:tc>
          <w:tcPr>
            <w:tcW w:w="1761" w:type="dxa"/>
            <w:gridSpan w:val="2"/>
            <w:vMerge w:val="restart"/>
            <w:noWrap w:val="0"/>
            <w:vAlign w:val="center"/>
          </w:tcPr>
          <w:p w14:paraId="2EA347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措施到位，全部满足要求，进入环保、节约、人力资源节约和保护要素评分流程；否则，一票否决，为绿色施工不合格</w:t>
            </w:r>
          </w:p>
        </w:tc>
        <w:tc>
          <w:tcPr>
            <w:tcW w:w="2190" w:type="dxa"/>
            <w:gridSpan w:val="2"/>
            <w:noWrap w:val="0"/>
            <w:vAlign w:val="top"/>
          </w:tcPr>
          <w:p w14:paraId="6C79A7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2430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473EAB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2</w:t>
            </w:r>
          </w:p>
        </w:tc>
        <w:tc>
          <w:tcPr>
            <w:tcW w:w="4539" w:type="dxa"/>
            <w:gridSpan w:val="4"/>
            <w:noWrap w:val="0"/>
            <w:vAlign w:val="center"/>
          </w:tcPr>
          <w:p w14:paraId="6B914F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具有齐全的绿色施工策划文件</w:t>
            </w:r>
          </w:p>
        </w:tc>
        <w:tc>
          <w:tcPr>
            <w:tcW w:w="1761" w:type="dxa"/>
            <w:gridSpan w:val="2"/>
            <w:vMerge w:val="continue"/>
            <w:noWrap w:val="0"/>
            <w:vAlign w:val="top"/>
          </w:tcPr>
          <w:p w14:paraId="21E818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3EBF9D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89F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4F94A6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w:t>
            </w:r>
          </w:p>
        </w:tc>
        <w:tc>
          <w:tcPr>
            <w:tcW w:w="4539" w:type="dxa"/>
            <w:gridSpan w:val="4"/>
            <w:noWrap w:val="0"/>
            <w:vAlign w:val="center"/>
          </w:tcPr>
          <w:p w14:paraId="263B83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设立清晰醒目的绿色施工宣传标识</w:t>
            </w:r>
          </w:p>
        </w:tc>
        <w:tc>
          <w:tcPr>
            <w:tcW w:w="1761" w:type="dxa"/>
            <w:gridSpan w:val="2"/>
            <w:vMerge w:val="continue"/>
            <w:noWrap w:val="0"/>
            <w:vAlign w:val="top"/>
          </w:tcPr>
          <w:p w14:paraId="68BDA4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7C8EB4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8D5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0DAD07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4</w:t>
            </w:r>
          </w:p>
        </w:tc>
        <w:tc>
          <w:tcPr>
            <w:tcW w:w="4539" w:type="dxa"/>
            <w:gridSpan w:val="4"/>
            <w:noWrap w:val="0"/>
            <w:vAlign w:val="center"/>
          </w:tcPr>
          <w:p w14:paraId="492404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建立专业培训和岗位培训相结合的绿色施工培训制度，并有实施记录</w:t>
            </w:r>
          </w:p>
        </w:tc>
        <w:tc>
          <w:tcPr>
            <w:tcW w:w="1761" w:type="dxa"/>
            <w:gridSpan w:val="2"/>
            <w:vMerge w:val="continue"/>
            <w:noWrap w:val="0"/>
            <w:vAlign w:val="top"/>
          </w:tcPr>
          <w:p w14:paraId="68C806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B990E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33C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77FBA5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5</w:t>
            </w:r>
          </w:p>
        </w:tc>
        <w:tc>
          <w:tcPr>
            <w:tcW w:w="4539" w:type="dxa"/>
            <w:gridSpan w:val="4"/>
            <w:noWrap w:val="0"/>
            <w:vAlign w:val="center"/>
          </w:tcPr>
          <w:p w14:paraId="336D20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绿色施工批次和阶段评价记录完整，持续改进的资料保存齐全</w:t>
            </w:r>
          </w:p>
        </w:tc>
        <w:tc>
          <w:tcPr>
            <w:tcW w:w="1761" w:type="dxa"/>
            <w:gridSpan w:val="2"/>
            <w:vMerge w:val="continue"/>
            <w:noWrap w:val="0"/>
            <w:vAlign w:val="top"/>
          </w:tcPr>
          <w:p w14:paraId="04F68F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3BC2FE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FFB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7E5D58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6</w:t>
            </w:r>
          </w:p>
        </w:tc>
        <w:tc>
          <w:tcPr>
            <w:tcW w:w="4539" w:type="dxa"/>
            <w:gridSpan w:val="4"/>
            <w:noWrap w:val="0"/>
            <w:vAlign w:val="center"/>
          </w:tcPr>
          <w:p w14:paraId="508BA9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采集和保存实施过程中的绿色施工典型图片或影像资料</w:t>
            </w:r>
          </w:p>
        </w:tc>
        <w:tc>
          <w:tcPr>
            <w:tcW w:w="1761" w:type="dxa"/>
            <w:gridSpan w:val="2"/>
            <w:vMerge w:val="continue"/>
            <w:noWrap w:val="0"/>
            <w:vAlign w:val="top"/>
          </w:tcPr>
          <w:p w14:paraId="67D455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BBD1D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669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03EB9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7</w:t>
            </w:r>
          </w:p>
        </w:tc>
        <w:tc>
          <w:tcPr>
            <w:tcW w:w="4539" w:type="dxa"/>
            <w:gridSpan w:val="4"/>
            <w:noWrap w:val="0"/>
            <w:vAlign w:val="center"/>
          </w:tcPr>
          <w:p w14:paraId="0408CB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推广应用“四新”技术</w:t>
            </w:r>
          </w:p>
        </w:tc>
        <w:tc>
          <w:tcPr>
            <w:tcW w:w="1761" w:type="dxa"/>
            <w:gridSpan w:val="2"/>
            <w:vMerge w:val="continue"/>
            <w:noWrap w:val="0"/>
            <w:vAlign w:val="top"/>
          </w:tcPr>
          <w:p w14:paraId="786CBE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5D48E5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F86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558E69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8</w:t>
            </w:r>
          </w:p>
        </w:tc>
        <w:tc>
          <w:tcPr>
            <w:tcW w:w="4539" w:type="dxa"/>
            <w:gridSpan w:val="4"/>
            <w:noWrap w:val="0"/>
            <w:vAlign w:val="center"/>
          </w:tcPr>
          <w:p w14:paraId="54F305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分包合同或劳务合同包含绿色施工要求</w:t>
            </w:r>
          </w:p>
        </w:tc>
        <w:tc>
          <w:tcPr>
            <w:tcW w:w="1761" w:type="dxa"/>
            <w:gridSpan w:val="2"/>
            <w:vMerge w:val="continue"/>
            <w:noWrap w:val="0"/>
            <w:vAlign w:val="top"/>
          </w:tcPr>
          <w:p w14:paraId="56AC19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2966C1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7A7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1641F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3.3.</w:t>
            </w:r>
            <w:r>
              <w:rPr>
                <w:rFonts w:hint="eastAsia" w:ascii="仿宋_GB2312" w:hAnsi="仿宋_GB2312" w:eastAsia="仿宋_GB2312" w:cs="仿宋_GB2312"/>
                <w:color w:val="auto"/>
                <w:spacing w:val="-2"/>
                <w:sz w:val="24"/>
                <w:szCs w:val="24"/>
                <w:lang w:val="en-US" w:eastAsia="zh-CN"/>
              </w:rPr>
              <w:t>3</w:t>
            </w:r>
          </w:p>
        </w:tc>
        <w:tc>
          <w:tcPr>
            <w:tcW w:w="4539" w:type="dxa"/>
            <w:gridSpan w:val="4"/>
            <w:noWrap w:val="0"/>
            <w:vAlign w:val="center"/>
          </w:tcPr>
          <w:p w14:paraId="039CC9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图纸会审应包括绿色施工内容</w:t>
            </w:r>
          </w:p>
        </w:tc>
        <w:tc>
          <w:tcPr>
            <w:tcW w:w="1761" w:type="dxa"/>
            <w:gridSpan w:val="2"/>
            <w:vMerge w:val="continue"/>
            <w:noWrap w:val="0"/>
            <w:vAlign w:val="top"/>
          </w:tcPr>
          <w:p w14:paraId="4CBC8D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7FE784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C6C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1C8B6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3.3.</w:t>
            </w:r>
            <w:r>
              <w:rPr>
                <w:rFonts w:hint="eastAsia" w:ascii="仿宋_GB2312" w:hAnsi="仿宋_GB2312" w:eastAsia="仿宋_GB2312" w:cs="仿宋_GB2312"/>
                <w:color w:val="auto"/>
                <w:spacing w:val="-2"/>
                <w:sz w:val="24"/>
                <w:szCs w:val="24"/>
                <w:lang w:val="en-US" w:eastAsia="zh-CN"/>
              </w:rPr>
              <w:t>4</w:t>
            </w:r>
          </w:p>
        </w:tc>
        <w:tc>
          <w:tcPr>
            <w:tcW w:w="4539" w:type="dxa"/>
            <w:gridSpan w:val="4"/>
            <w:tcBorders>
              <w:bottom w:val="single" w:color="auto" w:sz="4" w:space="0"/>
            </w:tcBorders>
            <w:noWrap w:val="0"/>
            <w:vAlign w:val="center"/>
          </w:tcPr>
          <w:p w14:paraId="067BCF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施工单位应进行施工图、绿色施工组织设计和绿色施工方案的优化</w:t>
            </w:r>
          </w:p>
        </w:tc>
        <w:tc>
          <w:tcPr>
            <w:tcW w:w="1761" w:type="dxa"/>
            <w:gridSpan w:val="2"/>
            <w:vMerge w:val="continue"/>
            <w:tcBorders>
              <w:bottom w:val="single" w:color="auto" w:sz="4" w:space="0"/>
            </w:tcBorders>
            <w:noWrap w:val="0"/>
            <w:vAlign w:val="top"/>
          </w:tcPr>
          <w:p w14:paraId="530C236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bottom w:val="single" w:color="auto" w:sz="4" w:space="0"/>
            </w:tcBorders>
            <w:noWrap w:val="0"/>
            <w:vAlign w:val="top"/>
          </w:tcPr>
          <w:p w14:paraId="5FC4F2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36B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tcBorders>
              <w:right w:val="single" w:color="auto" w:sz="4" w:space="0"/>
            </w:tcBorders>
            <w:noWrap w:val="0"/>
            <w:vAlign w:val="center"/>
          </w:tcPr>
          <w:p w14:paraId="7E4918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3.3.</w:t>
            </w:r>
            <w:r>
              <w:rPr>
                <w:rFonts w:hint="eastAsia" w:ascii="仿宋_GB2312" w:hAnsi="仿宋_GB2312" w:eastAsia="仿宋_GB2312" w:cs="仿宋_GB2312"/>
                <w:color w:val="auto"/>
                <w:spacing w:val="-2"/>
                <w:sz w:val="24"/>
                <w:szCs w:val="24"/>
                <w:lang w:val="en-US" w:eastAsia="zh-CN"/>
              </w:rPr>
              <w:t>5</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160A73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当发生下列情况之一时，不得评为绿色施工合格项目</w:t>
            </w:r>
          </w:p>
        </w:tc>
        <w:tc>
          <w:tcPr>
            <w:tcW w:w="17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C237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全部未发生，进入环保、</w:t>
            </w:r>
            <w:r>
              <w:rPr>
                <w:rFonts w:hint="eastAsia" w:ascii="仿宋_GB2312" w:hAnsi="仿宋_GB2312" w:eastAsia="仿宋_GB2312" w:cs="仿宋_GB2312"/>
                <w:color w:val="auto"/>
                <w:spacing w:val="-2"/>
                <w:sz w:val="24"/>
                <w:szCs w:val="24"/>
                <w:lang w:eastAsia="zh-CN"/>
              </w:rPr>
              <w:t>资源</w:t>
            </w:r>
            <w:r>
              <w:rPr>
                <w:rFonts w:hint="eastAsia" w:ascii="仿宋_GB2312" w:hAnsi="仿宋_GB2312" w:eastAsia="仿宋_GB2312" w:cs="仿宋_GB2312"/>
                <w:color w:val="auto"/>
                <w:spacing w:val="-2"/>
                <w:sz w:val="24"/>
                <w:szCs w:val="24"/>
              </w:rPr>
              <w:t>节约、人力资源节约和保护要素评分流程；否则，一票否决，为绿色施工不合格</w:t>
            </w:r>
            <w:r>
              <w:rPr>
                <w:rFonts w:hint="eastAsia" w:ascii="仿宋_GB2312" w:hAnsi="仿宋_GB2312" w:eastAsia="仿宋_GB2312" w:cs="仿宋_GB2312"/>
                <w:color w:val="auto"/>
                <w:spacing w:val="-2"/>
                <w:sz w:val="24"/>
                <w:szCs w:val="24"/>
                <w:lang w:eastAsia="zh-CN"/>
              </w:rPr>
              <w:t>。</w:t>
            </w:r>
          </w:p>
        </w:tc>
        <w:tc>
          <w:tcPr>
            <w:tcW w:w="2190" w:type="dxa"/>
            <w:gridSpan w:val="2"/>
            <w:tcBorders>
              <w:top w:val="single" w:color="auto" w:sz="4" w:space="0"/>
              <w:left w:val="single" w:color="auto" w:sz="4" w:space="0"/>
              <w:bottom w:val="single" w:color="auto" w:sz="4" w:space="0"/>
              <w:right w:val="single" w:color="auto" w:sz="4" w:space="0"/>
            </w:tcBorders>
            <w:noWrap w:val="0"/>
            <w:vAlign w:val="top"/>
          </w:tcPr>
          <w:p w14:paraId="53C88E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7C2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tcBorders>
              <w:right w:val="single" w:color="auto" w:sz="4" w:space="0"/>
            </w:tcBorders>
            <w:noWrap w:val="0"/>
            <w:vAlign w:val="center"/>
          </w:tcPr>
          <w:p w14:paraId="5BA168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1</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38FCD1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发生安全生产死亡责任事故</w:t>
            </w:r>
          </w:p>
        </w:tc>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1233C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left w:val="single" w:color="auto" w:sz="4" w:space="0"/>
              <w:bottom w:val="single" w:color="auto" w:sz="4" w:space="0"/>
              <w:right w:val="single" w:color="auto" w:sz="4" w:space="0"/>
            </w:tcBorders>
            <w:noWrap w:val="0"/>
            <w:vAlign w:val="top"/>
          </w:tcPr>
          <w:p w14:paraId="5AC53D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45F7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tcBorders>
              <w:right w:val="single" w:color="auto" w:sz="4" w:space="0"/>
            </w:tcBorders>
            <w:noWrap w:val="0"/>
            <w:vAlign w:val="center"/>
          </w:tcPr>
          <w:p w14:paraId="4609CB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2</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37B89E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发生工程质量事故或由质量问题造成不良社会影响</w:t>
            </w:r>
          </w:p>
        </w:tc>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0D56B0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left w:val="single" w:color="auto" w:sz="4" w:space="0"/>
              <w:bottom w:val="single" w:color="auto" w:sz="4" w:space="0"/>
              <w:right w:val="single" w:color="auto" w:sz="4" w:space="0"/>
            </w:tcBorders>
            <w:noWrap w:val="0"/>
            <w:vAlign w:val="top"/>
          </w:tcPr>
          <w:p w14:paraId="76994F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E9D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408DDC1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w:t>
            </w:r>
          </w:p>
        </w:tc>
        <w:tc>
          <w:tcPr>
            <w:tcW w:w="4539" w:type="dxa"/>
            <w:gridSpan w:val="4"/>
            <w:tcBorders>
              <w:top w:val="single" w:color="auto" w:sz="4" w:space="0"/>
            </w:tcBorders>
            <w:noWrap w:val="0"/>
            <w:vAlign w:val="center"/>
          </w:tcPr>
          <w:p w14:paraId="16BD17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发生群体传染病、食物中毒等责任事故</w:t>
            </w:r>
          </w:p>
        </w:tc>
        <w:tc>
          <w:tcPr>
            <w:tcW w:w="1761" w:type="dxa"/>
            <w:gridSpan w:val="2"/>
            <w:vMerge w:val="continue"/>
            <w:tcBorders>
              <w:top w:val="single" w:color="auto" w:sz="4" w:space="0"/>
            </w:tcBorders>
            <w:noWrap w:val="0"/>
            <w:vAlign w:val="top"/>
          </w:tcPr>
          <w:p w14:paraId="7D5A0A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tcBorders>
            <w:noWrap w:val="0"/>
            <w:vAlign w:val="top"/>
          </w:tcPr>
          <w:p w14:paraId="24910A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2D78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518C37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4</w:t>
            </w:r>
          </w:p>
        </w:tc>
        <w:tc>
          <w:tcPr>
            <w:tcW w:w="4539" w:type="dxa"/>
            <w:gridSpan w:val="4"/>
            <w:noWrap w:val="0"/>
            <w:vAlign w:val="center"/>
          </w:tcPr>
          <w:p w14:paraId="6A3D6F8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施工中因“环境保护与资源节约”问题被政府管理部门处罚</w:t>
            </w:r>
          </w:p>
        </w:tc>
        <w:tc>
          <w:tcPr>
            <w:tcW w:w="1761" w:type="dxa"/>
            <w:gridSpan w:val="2"/>
            <w:vMerge w:val="continue"/>
            <w:noWrap w:val="0"/>
            <w:vAlign w:val="top"/>
          </w:tcPr>
          <w:p w14:paraId="6DA471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940DD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7A96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7595A3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5</w:t>
            </w:r>
          </w:p>
        </w:tc>
        <w:tc>
          <w:tcPr>
            <w:tcW w:w="4539" w:type="dxa"/>
            <w:gridSpan w:val="4"/>
            <w:noWrap w:val="0"/>
            <w:vAlign w:val="center"/>
          </w:tcPr>
          <w:p w14:paraId="41770C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违反国家有关“环境保护与资源节约”的法律法规，造成社会影响</w:t>
            </w:r>
          </w:p>
        </w:tc>
        <w:tc>
          <w:tcPr>
            <w:tcW w:w="1761" w:type="dxa"/>
            <w:gridSpan w:val="2"/>
            <w:vMerge w:val="continue"/>
            <w:noWrap w:val="0"/>
            <w:vAlign w:val="top"/>
          </w:tcPr>
          <w:p w14:paraId="02A923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0BE509F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3701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3A3A54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6</w:t>
            </w:r>
          </w:p>
        </w:tc>
        <w:tc>
          <w:tcPr>
            <w:tcW w:w="4539" w:type="dxa"/>
            <w:gridSpan w:val="4"/>
            <w:noWrap w:val="0"/>
            <w:vAlign w:val="center"/>
          </w:tcPr>
          <w:p w14:paraId="49B68E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施工扰民造成社会影响</w:t>
            </w:r>
          </w:p>
        </w:tc>
        <w:tc>
          <w:tcPr>
            <w:tcW w:w="1761" w:type="dxa"/>
            <w:gridSpan w:val="2"/>
            <w:vMerge w:val="continue"/>
            <w:noWrap w:val="0"/>
            <w:vAlign w:val="top"/>
          </w:tcPr>
          <w:p w14:paraId="146CC6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4BC8D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BF8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3AD518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7</w:t>
            </w:r>
          </w:p>
        </w:tc>
        <w:tc>
          <w:tcPr>
            <w:tcW w:w="4539" w:type="dxa"/>
            <w:gridSpan w:val="4"/>
            <w:noWrap w:val="0"/>
            <w:vAlign w:val="center"/>
          </w:tcPr>
          <w:p w14:paraId="5F35AF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施工现场焚烧废弃物</w:t>
            </w:r>
          </w:p>
        </w:tc>
        <w:tc>
          <w:tcPr>
            <w:tcW w:w="1761" w:type="dxa"/>
            <w:gridSpan w:val="2"/>
            <w:vMerge w:val="continue"/>
            <w:noWrap w:val="0"/>
            <w:vAlign w:val="top"/>
          </w:tcPr>
          <w:p w14:paraId="638DEE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2D57CF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3A0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vMerge w:val="restart"/>
            <w:noWrap w:val="0"/>
            <w:vAlign w:val="center"/>
          </w:tcPr>
          <w:p w14:paraId="766FC1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签字栏</w:t>
            </w:r>
          </w:p>
        </w:tc>
        <w:tc>
          <w:tcPr>
            <w:tcW w:w="2830" w:type="dxa"/>
            <w:gridSpan w:val="2"/>
            <w:noWrap w:val="0"/>
            <w:vAlign w:val="center"/>
          </w:tcPr>
          <w:p w14:paraId="5CE8D6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830" w:type="dxa"/>
            <w:gridSpan w:val="3"/>
            <w:noWrap w:val="0"/>
            <w:vAlign w:val="center"/>
          </w:tcPr>
          <w:p w14:paraId="14535F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830" w:type="dxa"/>
            <w:gridSpan w:val="3"/>
            <w:noWrap w:val="0"/>
            <w:vAlign w:val="center"/>
          </w:tcPr>
          <w:p w14:paraId="74BABA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46F8D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vMerge w:val="continue"/>
            <w:noWrap w:val="0"/>
            <w:vAlign w:val="center"/>
          </w:tcPr>
          <w:p w14:paraId="666308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415" w:type="dxa"/>
            <w:noWrap w:val="0"/>
            <w:vAlign w:val="center"/>
          </w:tcPr>
          <w:p w14:paraId="7155D6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kern w:val="2"/>
                <w:sz w:val="24"/>
                <w:szCs w:val="24"/>
                <w:lang w:val="en-US" w:eastAsia="zh-CN" w:bidi="ar-SA"/>
              </w:rPr>
              <w:t>签字人</w:t>
            </w:r>
          </w:p>
        </w:tc>
        <w:tc>
          <w:tcPr>
            <w:tcW w:w="1415" w:type="dxa"/>
            <w:noWrap w:val="0"/>
            <w:vAlign w:val="center"/>
          </w:tcPr>
          <w:p w14:paraId="06150F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415" w:type="dxa"/>
            <w:noWrap w:val="0"/>
            <w:vAlign w:val="center"/>
          </w:tcPr>
          <w:p w14:paraId="15584F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415" w:type="dxa"/>
            <w:gridSpan w:val="2"/>
            <w:noWrap w:val="0"/>
            <w:vAlign w:val="center"/>
          </w:tcPr>
          <w:p w14:paraId="0D9E8F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415" w:type="dxa"/>
            <w:gridSpan w:val="2"/>
            <w:noWrap w:val="0"/>
            <w:vAlign w:val="center"/>
          </w:tcPr>
          <w:p w14:paraId="503684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415" w:type="dxa"/>
            <w:noWrap w:val="0"/>
            <w:vAlign w:val="center"/>
          </w:tcPr>
          <w:p w14:paraId="026A91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3EA53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vMerge w:val="continue"/>
            <w:noWrap w:val="0"/>
            <w:vAlign w:val="center"/>
          </w:tcPr>
          <w:p w14:paraId="6BEF56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415" w:type="dxa"/>
            <w:noWrap w:val="0"/>
            <w:vAlign w:val="center"/>
          </w:tcPr>
          <w:p w14:paraId="7A449F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noWrap w:val="0"/>
            <w:vAlign w:val="center"/>
          </w:tcPr>
          <w:p w14:paraId="1B607C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noWrap w:val="0"/>
            <w:vAlign w:val="center"/>
          </w:tcPr>
          <w:p w14:paraId="6E392B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gridSpan w:val="2"/>
            <w:noWrap w:val="0"/>
            <w:vAlign w:val="center"/>
          </w:tcPr>
          <w:p w14:paraId="795B9DF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gridSpan w:val="2"/>
            <w:noWrap w:val="0"/>
            <w:vAlign w:val="center"/>
          </w:tcPr>
          <w:p w14:paraId="564EDC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noWrap w:val="0"/>
            <w:vAlign w:val="center"/>
          </w:tcPr>
          <w:p w14:paraId="4706D1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r>
    </w:tbl>
    <w:p w14:paraId="5D19A736">
      <w:pPr>
        <w:rPr>
          <w:rFonts w:hint="eastAsia" w:ascii="华文中宋" w:hAnsi="华文中宋" w:eastAsia="华文中宋" w:cs="仿宋_GB2312"/>
          <w:color w:val="auto"/>
          <w:sz w:val="28"/>
          <w:szCs w:val="28"/>
          <w:lang w:val="en-US" w:eastAsia="zh-CN"/>
        </w:rPr>
      </w:pPr>
      <w:r>
        <w:rPr>
          <w:rFonts w:hint="eastAsia" w:ascii="华文中宋" w:hAnsi="华文中宋" w:eastAsia="华文中宋" w:cs="仿宋_GB2312"/>
          <w:color w:val="auto"/>
          <w:sz w:val="28"/>
          <w:szCs w:val="28"/>
          <w:lang w:val="en-US" w:eastAsia="zh-CN"/>
        </w:rPr>
        <w:br w:type="page"/>
      </w:r>
      <w:r>
        <w:rPr>
          <w:rFonts w:hint="eastAsia" w:ascii="华文中宋" w:hAnsi="华文中宋" w:eastAsia="华文中宋" w:cs="仿宋_GB2312"/>
          <w:color w:val="auto"/>
          <w:sz w:val="28"/>
          <w:szCs w:val="28"/>
          <w:lang w:val="en-US" w:eastAsia="zh-CN"/>
        </w:rPr>
        <w:t>附表二：</w:t>
      </w:r>
    </w:p>
    <w:p w14:paraId="2EC8F0BC">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要素与批次评价汇总表（表2-1）</w:t>
      </w:r>
    </w:p>
    <w:tbl>
      <w:tblPr>
        <w:tblStyle w:val="7"/>
        <w:tblW w:w="9119"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1185"/>
        <w:gridCol w:w="1186"/>
        <w:gridCol w:w="1185"/>
        <w:gridCol w:w="289"/>
        <w:gridCol w:w="897"/>
        <w:gridCol w:w="559"/>
        <w:gridCol w:w="626"/>
        <w:gridCol w:w="1484"/>
      </w:tblGrid>
      <w:tr w14:paraId="0A3E6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708" w:type="dxa"/>
            <w:noWrap w:val="0"/>
            <w:vAlign w:val="center"/>
          </w:tcPr>
          <w:p w14:paraId="2C6C99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工程名称</w:t>
            </w:r>
          </w:p>
        </w:tc>
        <w:tc>
          <w:tcPr>
            <w:tcW w:w="7411" w:type="dxa"/>
            <w:gridSpan w:val="8"/>
            <w:noWrap w:val="0"/>
            <w:vAlign w:val="top"/>
          </w:tcPr>
          <w:p w14:paraId="2E3C22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CDC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216DC9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施工单位</w:t>
            </w:r>
          </w:p>
        </w:tc>
        <w:tc>
          <w:tcPr>
            <w:tcW w:w="7411" w:type="dxa"/>
            <w:gridSpan w:val="8"/>
            <w:noWrap w:val="0"/>
            <w:vAlign w:val="top"/>
          </w:tcPr>
          <w:p w14:paraId="1A94C1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122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3295B7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工程所在地</w:t>
            </w:r>
          </w:p>
        </w:tc>
        <w:tc>
          <w:tcPr>
            <w:tcW w:w="7411" w:type="dxa"/>
            <w:gridSpan w:val="8"/>
            <w:noWrap w:val="0"/>
            <w:vAlign w:val="top"/>
          </w:tcPr>
          <w:p w14:paraId="2501D1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0E6A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08" w:type="dxa"/>
            <w:noWrap w:val="0"/>
            <w:vAlign w:val="center"/>
          </w:tcPr>
          <w:p w14:paraId="3C30BD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1DAAC8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(批次/阶段)</w:t>
            </w:r>
          </w:p>
        </w:tc>
        <w:tc>
          <w:tcPr>
            <w:tcW w:w="3845" w:type="dxa"/>
            <w:gridSpan w:val="4"/>
            <w:noWrap w:val="0"/>
            <w:vAlign w:val="center"/>
          </w:tcPr>
          <w:p w14:paraId="5A34EF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456" w:type="dxa"/>
            <w:gridSpan w:val="2"/>
            <w:noWrap w:val="0"/>
            <w:vAlign w:val="center"/>
          </w:tcPr>
          <w:p w14:paraId="6CEEED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施工阶段</w:t>
            </w:r>
          </w:p>
        </w:tc>
        <w:tc>
          <w:tcPr>
            <w:tcW w:w="2110" w:type="dxa"/>
            <w:gridSpan w:val="2"/>
            <w:noWrap w:val="0"/>
            <w:vAlign w:val="top"/>
          </w:tcPr>
          <w:p w14:paraId="136B99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39B1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5B269F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工程类别</w:t>
            </w:r>
          </w:p>
        </w:tc>
        <w:tc>
          <w:tcPr>
            <w:tcW w:w="3845" w:type="dxa"/>
            <w:gridSpan w:val="4"/>
            <w:noWrap w:val="0"/>
            <w:vAlign w:val="center"/>
          </w:tcPr>
          <w:p w14:paraId="119553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建筑□市政□</w:t>
            </w:r>
            <w:r>
              <w:rPr>
                <w:rFonts w:hint="eastAsia" w:ascii="仿宋_GB2312" w:hAnsi="仿宋_GB2312" w:eastAsia="仿宋_GB2312" w:cs="仿宋_GB2312"/>
                <w:color w:val="auto"/>
                <w:spacing w:val="-2"/>
                <w:sz w:val="28"/>
                <w:szCs w:val="28"/>
                <w:lang w:eastAsia="zh-CN"/>
              </w:rPr>
              <w:t>其他</w:t>
            </w:r>
            <w:r>
              <w:rPr>
                <w:rFonts w:hint="eastAsia" w:ascii="仿宋_GB2312" w:hAnsi="仿宋_GB2312" w:eastAsia="仿宋_GB2312" w:cs="仿宋_GB2312"/>
                <w:color w:val="auto"/>
                <w:spacing w:val="-2"/>
                <w:sz w:val="28"/>
                <w:szCs w:val="28"/>
              </w:rPr>
              <w:t>□</w:t>
            </w:r>
          </w:p>
        </w:tc>
        <w:tc>
          <w:tcPr>
            <w:tcW w:w="1456" w:type="dxa"/>
            <w:gridSpan w:val="2"/>
            <w:noWrap w:val="0"/>
            <w:vAlign w:val="center"/>
          </w:tcPr>
          <w:p w14:paraId="72F29F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eastAsia="zh-CN"/>
              </w:rPr>
              <w:t>评价时间</w:t>
            </w:r>
          </w:p>
        </w:tc>
        <w:tc>
          <w:tcPr>
            <w:tcW w:w="2110" w:type="dxa"/>
            <w:gridSpan w:val="2"/>
            <w:noWrap w:val="0"/>
            <w:vAlign w:val="top"/>
          </w:tcPr>
          <w:p w14:paraId="354B54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7FE2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1A5442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评价要素</w:t>
            </w:r>
          </w:p>
        </w:tc>
        <w:tc>
          <w:tcPr>
            <w:tcW w:w="3845" w:type="dxa"/>
            <w:gridSpan w:val="4"/>
            <w:noWrap w:val="0"/>
            <w:vAlign w:val="center"/>
          </w:tcPr>
          <w:p w14:paraId="7587A4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要素评价得分F</w:t>
            </w:r>
          </w:p>
        </w:tc>
        <w:tc>
          <w:tcPr>
            <w:tcW w:w="1456" w:type="dxa"/>
            <w:gridSpan w:val="2"/>
            <w:noWrap w:val="0"/>
            <w:vAlign w:val="center"/>
          </w:tcPr>
          <w:p w14:paraId="1940BC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权重系数</w:t>
            </w:r>
            <w:r>
              <w:rPr>
                <w:b/>
                <w:bCs/>
                <w:color w:val="auto"/>
                <w:position w:val="-12"/>
                <w:szCs w:val="21"/>
              </w:rPr>
              <w:object>
                <v:shape id="_x0000_i1025" o:spt="75" type="#_x0000_t75" style="height:18.75pt;width:14.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tc>
        <w:tc>
          <w:tcPr>
            <w:tcW w:w="2110" w:type="dxa"/>
            <w:gridSpan w:val="2"/>
            <w:noWrap w:val="0"/>
            <w:vAlign w:val="center"/>
          </w:tcPr>
          <w:p w14:paraId="31B260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批次评价得分E</w:t>
            </w:r>
          </w:p>
        </w:tc>
      </w:tr>
      <w:tr w14:paraId="5114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708" w:type="dxa"/>
            <w:noWrap w:val="0"/>
            <w:vAlign w:val="center"/>
          </w:tcPr>
          <w:p w14:paraId="6321AF8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环境保护</w:t>
            </w:r>
          </w:p>
        </w:tc>
        <w:tc>
          <w:tcPr>
            <w:tcW w:w="3845" w:type="dxa"/>
            <w:gridSpan w:val="4"/>
            <w:noWrap w:val="0"/>
            <w:vAlign w:val="center"/>
          </w:tcPr>
          <w:p w14:paraId="1BEDF8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56" w:type="dxa"/>
            <w:gridSpan w:val="2"/>
            <w:noWrap w:val="0"/>
            <w:vAlign w:val="center"/>
          </w:tcPr>
          <w:p w14:paraId="7F2E7A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0.45</w:t>
            </w:r>
          </w:p>
        </w:tc>
        <w:tc>
          <w:tcPr>
            <w:tcW w:w="2110" w:type="dxa"/>
            <w:gridSpan w:val="2"/>
            <w:noWrap w:val="0"/>
            <w:vAlign w:val="center"/>
          </w:tcPr>
          <w:p w14:paraId="021E5B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79A7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708" w:type="dxa"/>
            <w:noWrap w:val="0"/>
            <w:vAlign w:val="center"/>
          </w:tcPr>
          <w:p w14:paraId="0BF113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资源节约</w:t>
            </w:r>
          </w:p>
        </w:tc>
        <w:tc>
          <w:tcPr>
            <w:tcW w:w="3845" w:type="dxa"/>
            <w:gridSpan w:val="4"/>
            <w:noWrap w:val="0"/>
            <w:vAlign w:val="center"/>
          </w:tcPr>
          <w:p w14:paraId="3B26FA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56" w:type="dxa"/>
            <w:gridSpan w:val="2"/>
            <w:noWrap w:val="0"/>
            <w:vAlign w:val="center"/>
          </w:tcPr>
          <w:p w14:paraId="5B7B1B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0.35</w:t>
            </w:r>
          </w:p>
        </w:tc>
        <w:tc>
          <w:tcPr>
            <w:tcW w:w="2110" w:type="dxa"/>
            <w:gridSpan w:val="2"/>
            <w:noWrap w:val="0"/>
            <w:vAlign w:val="center"/>
          </w:tcPr>
          <w:p w14:paraId="3A3F6C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E10F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08" w:type="dxa"/>
            <w:noWrap w:val="0"/>
            <w:vAlign w:val="center"/>
          </w:tcPr>
          <w:p w14:paraId="00255B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人力资源节约和保护</w:t>
            </w:r>
          </w:p>
        </w:tc>
        <w:tc>
          <w:tcPr>
            <w:tcW w:w="3845" w:type="dxa"/>
            <w:gridSpan w:val="4"/>
            <w:noWrap w:val="0"/>
            <w:vAlign w:val="center"/>
          </w:tcPr>
          <w:p w14:paraId="6EB01B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56" w:type="dxa"/>
            <w:gridSpan w:val="2"/>
            <w:noWrap w:val="0"/>
            <w:vAlign w:val="center"/>
          </w:tcPr>
          <w:p w14:paraId="18BBD0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0.20</w:t>
            </w:r>
          </w:p>
        </w:tc>
        <w:tc>
          <w:tcPr>
            <w:tcW w:w="2110" w:type="dxa"/>
            <w:gridSpan w:val="2"/>
            <w:noWrap w:val="0"/>
            <w:vAlign w:val="center"/>
          </w:tcPr>
          <w:p w14:paraId="5F758D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72F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1708" w:type="dxa"/>
            <w:noWrap w:val="0"/>
            <w:vAlign w:val="top"/>
          </w:tcPr>
          <w:p w14:paraId="760E1E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3A0D51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3415E1A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3845" w:type="dxa"/>
            <w:gridSpan w:val="4"/>
            <w:noWrap w:val="0"/>
            <w:vAlign w:val="top"/>
          </w:tcPr>
          <w:p w14:paraId="0D34DF9C">
            <w:pPr>
              <w:rPr>
                <w:rFonts w:hint="eastAsia" w:ascii="仿宋" w:hAnsi="仿宋" w:eastAsia="仿宋" w:cs="仿宋"/>
                <w:color w:val="auto"/>
                <w:sz w:val="28"/>
                <w:szCs w:val="28"/>
              </w:rPr>
            </w:pPr>
            <w:r>
              <w:rPr>
                <w:rFonts w:hint="eastAsia" w:ascii="仿宋" w:hAnsi="仿宋" w:eastAsia="仿宋" w:cs="仿宋"/>
                <w:color w:val="auto"/>
                <w:position w:val="-14"/>
                <w:sz w:val="28"/>
                <w:szCs w:val="28"/>
              </w:rPr>
              <w:object>
                <v:shape id="_x0000_i1026" o:spt="75" type="#_x0000_t75" style="height:27.1pt;width:111.7pt;" o:ole="t" filled="f" o:preferrelative="t" stroked="f" coordsize="21600,21600">
                  <v:path/>
                  <v:fill on="f" focussize="0,0"/>
                  <v:stroke on="f"/>
                  <v:imagedata r:id="rId8" o:title=""/>
                  <o:lock v:ext="edit" aspectratio="t"/>
                  <w10:wrap type="none"/>
                  <w10:anchorlock/>
                </v:shape>
                <o:OLEObject Type="Embed" ProgID="Equation.DSMT4" ShapeID="_x0000_i1026" DrawAspect="Content" ObjectID="_1468075726" r:id="rId7">
                  <o:LockedField>false</o:LockedField>
                </o:OLEObject>
              </w:object>
            </w:r>
          </w:p>
          <w:p w14:paraId="2EBA2B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式中：E—批次评价得分；</w:t>
            </w:r>
          </w:p>
          <w:p w14:paraId="77F604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F—要素评价得分；</w:t>
            </w:r>
          </w:p>
          <w:p w14:paraId="7F7DBF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left="1380" w:right="0" w:hanging="1380" w:hangingChars="5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 xml:space="preserve">     </w:t>
            </w:r>
            <w:r>
              <w:rPr>
                <w:rFonts w:hint="eastAsia" w:ascii="仿宋_GB2312" w:hAnsi="仿宋_GB2312" w:eastAsia="仿宋_GB2312" w:cs="仿宋_GB2312"/>
                <w:color w:val="auto"/>
                <w:spacing w:val="-2"/>
                <w:sz w:val="28"/>
                <w:szCs w:val="28"/>
              </w:rPr>
              <w:object>
                <v:shape id="_x0000_i1027" o:spt="75" type="#_x0000_t75" style="height:23.85pt;width:18.1pt;" o:ole="t" filled="f" o:preferrelative="t" stroked="f" coordsize="21600,21600">
                  <v:path/>
                  <v:fill on="f" focussize="0,0"/>
                  <v:stroke on="f"/>
                  <v:imagedata r:id="rId6" o:title=""/>
                  <o:lock v:ext="edit" aspectratio="t"/>
                  <w10:wrap type="none"/>
                  <w10:anchorlock/>
                </v:shape>
                <o:OLEObject Type="Embed" ProgID="Equation.DSMT4" ShapeID="_x0000_i1027" DrawAspect="Content" ObjectID="_1468075727" r:id="rId9">
                  <o:LockedField>false</o:LockedField>
                </o:OLEObject>
              </w:object>
            </w:r>
            <w:r>
              <w:rPr>
                <w:rFonts w:hint="eastAsia" w:ascii="仿宋_GB2312" w:hAnsi="仿宋_GB2312" w:eastAsia="仿宋_GB2312" w:cs="仿宋_GB2312"/>
                <w:color w:val="auto"/>
                <w:spacing w:val="-2"/>
                <w:sz w:val="28"/>
                <w:szCs w:val="28"/>
              </w:rPr>
              <w:t>—批次评价要素权重系数</w:t>
            </w:r>
          </w:p>
        </w:tc>
        <w:tc>
          <w:tcPr>
            <w:tcW w:w="1456" w:type="dxa"/>
            <w:gridSpan w:val="2"/>
            <w:noWrap w:val="0"/>
            <w:vAlign w:val="top"/>
          </w:tcPr>
          <w:p w14:paraId="1E759A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226AAE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026A60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合计</w:t>
            </w:r>
          </w:p>
        </w:tc>
        <w:tc>
          <w:tcPr>
            <w:tcW w:w="2110" w:type="dxa"/>
            <w:gridSpan w:val="2"/>
            <w:noWrap w:val="0"/>
            <w:vAlign w:val="top"/>
          </w:tcPr>
          <w:p w14:paraId="021941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8F6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8" w:type="dxa"/>
            <w:vMerge w:val="restart"/>
            <w:noWrap w:val="0"/>
            <w:vAlign w:val="center"/>
          </w:tcPr>
          <w:p w14:paraId="332021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8"/>
                <w:szCs w:val="28"/>
                <w:lang w:val="en-US" w:eastAsia="zh-CN" w:bidi="ar-SA"/>
              </w:rPr>
              <w:t>签字栏</w:t>
            </w:r>
          </w:p>
        </w:tc>
        <w:tc>
          <w:tcPr>
            <w:tcW w:w="2371" w:type="dxa"/>
            <w:gridSpan w:val="2"/>
            <w:noWrap w:val="0"/>
            <w:vAlign w:val="center"/>
          </w:tcPr>
          <w:p w14:paraId="27DE59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371" w:type="dxa"/>
            <w:gridSpan w:val="3"/>
            <w:noWrap w:val="0"/>
            <w:vAlign w:val="center"/>
          </w:tcPr>
          <w:p w14:paraId="73625F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69" w:type="dxa"/>
            <w:gridSpan w:val="3"/>
            <w:noWrap w:val="0"/>
            <w:vAlign w:val="center"/>
          </w:tcPr>
          <w:p w14:paraId="14316E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6CDA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08" w:type="dxa"/>
            <w:vMerge w:val="continue"/>
            <w:noWrap w:val="0"/>
            <w:vAlign w:val="top"/>
          </w:tcPr>
          <w:p w14:paraId="4EC500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center"/>
          </w:tcPr>
          <w:p w14:paraId="665268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noWrap w:val="0"/>
            <w:vAlign w:val="center"/>
          </w:tcPr>
          <w:p w14:paraId="03AB42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noWrap w:val="0"/>
            <w:vAlign w:val="center"/>
          </w:tcPr>
          <w:p w14:paraId="7DDFBE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gridSpan w:val="2"/>
            <w:noWrap w:val="0"/>
            <w:vAlign w:val="center"/>
          </w:tcPr>
          <w:p w14:paraId="0ECD07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gridSpan w:val="2"/>
            <w:noWrap w:val="0"/>
            <w:vAlign w:val="center"/>
          </w:tcPr>
          <w:p w14:paraId="5B515D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484" w:type="dxa"/>
            <w:noWrap w:val="0"/>
            <w:vAlign w:val="center"/>
          </w:tcPr>
          <w:p w14:paraId="6303F34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3F06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708" w:type="dxa"/>
            <w:vMerge w:val="continue"/>
            <w:noWrap w:val="0"/>
            <w:vAlign w:val="top"/>
          </w:tcPr>
          <w:p w14:paraId="595A95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3960E0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noWrap w:val="0"/>
            <w:vAlign w:val="top"/>
          </w:tcPr>
          <w:p w14:paraId="1ED126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78409C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gridSpan w:val="2"/>
            <w:noWrap w:val="0"/>
            <w:vAlign w:val="top"/>
          </w:tcPr>
          <w:p w14:paraId="7A21F3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gridSpan w:val="2"/>
            <w:noWrap w:val="0"/>
            <w:vAlign w:val="top"/>
          </w:tcPr>
          <w:p w14:paraId="2FEFDE3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84" w:type="dxa"/>
            <w:noWrap w:val="0"/>
            <w:vAlign w:val="top"/>
          </w:tcPr>
          <w:p w14:paraId="043293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bl>
    <w:p w14:paraId="264C45F6">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环境保护要素评价表（表2-2）</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177"/>
        <w:gridCol w:w="196"/>
        <w:gridCol w:w="634"/>
        <w:gridCol w:w="739"/>
        <w:gridCol w:w="311"/>
        <w:gridCol w:w="1065"/>
      </w:tblGrid>
      <w:tr w14:paraId="4AF6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rPr>
        <w:tc>
          <w:tcPr>
            <w:tcW w:w="1950" w:type="dxa"/>
            <w:gridSpan w:val="3"/>
            <w:tcBorders>
              <w:bottom w:val="nil"/>
            </w:tcBorders>
            <w:noWrap w:val="0"/>
            <w:vAlign w:val="center"/>
          </w:tcPr>
          <w:p w14:paraId="16FD31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9"/>
            <w:tcBorders>
              <w:bottom w:val="nil"/>
            </w:tcBorders>
            <w:noWrap w:val="0"/>
            <w:vAlign w:val="center"/>
          </w:tcPr>
          <w:p w14:paraId="5D0D9A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22E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3" w:hRule="atLeast"/>
        </w:trPr>
        <w:tc>
          <w:tcPr>
            <w:tcW w:w="1950" w:type="dxa"/>
            <w:gridSpan w:val="3"/>
            <w:tcBorders>
              <w:bottom w:val="nil"/>
            </w:tcBorders>
            <w:noWrap w:val="0"/>
            <w:vAlign w:val="center"/>
          </w:tcPr>
          <w:p w14:paraId="4E2572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9"/>
            <w:tcBorders>
              <w:bottom w:val="nil"/>
            </w:tcBorders>
            <w:noWrap w:val="0"/>
            <w:vAlign w:val="center"/>
          </w:tcPr>
          <w:p w14:paraId="4FCB8D5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BEC1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1950" w:type="dxa"/>
            <w:gridSpan w:val="3"/>
            <w:tcBorders>
              <w:bottom w:val="nil"/>
            </w:tcBorders>
            <w:noWrap w:val="0"/>
            <w:vAlign w:val="center"/>
          </w:tcPr>
          <w:p w14:paraId="2D462C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9"/>
            <w:tcBorders>
              <w:bottom w:val="nil"/>
            </w:tcBorders>
            <w:noWrap w:val="0"/>
            <w:vAlign w:val="center"/>
          </w:tcPr>
          <w:p w14:paraId="13238C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595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1950" w:type="dxa"/>
            <w:gridSpan w:val="3"/>
            <w:tcBorders>
              <w:bottom w:val="nil"/>
            </w:tcBorders>
            <w:noWrap w:val="0"/>
            <w:vAlign w:val="center"/>
          </w:tcPr>
          <w:p w14:paraId="5A0F2F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7489E1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9"/>
            <w:tcBorders>
              <w:bottom w:val="nil"/>
            </w:tcBorders>
            <w:noWrap w:val="0"/>
            <w:vAlign w:val="center"/>
          </w:tcPr>
          <w:p w14:paraId="5F446D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40F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2" w:hRule="atLeast"/>
        </w:trPr>
        <w:tc>
          <w:tcPr>
            <w:tcW w:w="1950" w:type="dxa"/>
            <w:gridSpan w:val="3"/>
            <w:tcBorders>
              <w:bottom w:val="nil"/>
            </w:tcBorders>
            <w:noWrap w:val="0"/>
            <w:vAlign w:val="center"/>
          </w:tcPr>
          <w:p w14:paraId="0F864D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9"/>
            <w:tcBorders>
              <w:bottom w:val="nil"/>
            </w:tcBorders>
            <w:noWrap w:val="0"/>
            <w:vAlign w:val="center"/>
          </w:tcPr>
          <w:p w14:paraId="2A3365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1BF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600" w:type="dxa"/>
            <w:vMerge w:val="restart"/>
            <w:tcBorders>
              <w:bottom w:val="nil"/>
            </w:tcBorders>
            <w:noWrap w:val="0"/>
            <w:vAlign w:val="center"/>
          </w:tcPr>
          <w:p w14:paraId="69C283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控</w:t>
            </w:r>
          </w:p>
          <w:p w14:paraId="520E56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制</w:t>
            </w:r>
          </w:p>
          <w:p w14:paraId="4CB616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069" w:type="dxa"/>
            <w:gridSpan w:val="6"/>
            <w:noWrap w:val="0"/>
            <w:vAlign w:val="center"/>
          </w:tcPr>
          <w:p w14:paraId="172DE3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880" w:type="dxa"/>
            <w:gridSpan w:val="4"/>
            <w:noWrap w:val="0"/>
            <w:vAlign w:val="center"/>
          </w:tcPr>
          <w:p w14:paraId="53DF61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2F9A32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4F36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1" w:hRule="atLeast"/>
        </w:trPr>
        <w:tc>
          <w:tcPr>
            <w:tcW w:w="600" w:type="dxa"/>
            <w:vMerge w:val="continue"/>
            <w:tcBorders>
              <w:top w:val="nil"/>
              <w:bottom w:val="nil"/>
            </w:tcBorders>
            <w:noWrap w:val="0"/>
            <w:vAlign w:val="top"/>
          </w:tcPr>
          <w:p w14:paraId="6BB9FA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69" w:type="dxa"/>
            <w:gridSpan w:val="6"/>
            <w:noWrap w:val="0"/>
            <w:vAlign w:val="center"/>
          </w:tcPr>
          <w:p w14:paraId="21C294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4.1.1绿色施工策划文件中应包含环境保护内容，并建立环境保护管理制度</w:t>
            </w:r>
          </w:p>
        </w:tc>
        <w:tc>
          <w:tcPr>
            <w:tcW w:w="1880" w:type="dxa"/>
            <w:gridSpan w:val="4"/>
            <w:vMerge w:val="restart"/>
            <w:noWrap w:val="0"/>
            <w:vAlign w:val="top"/>
          </w:tcPr>
          <w:p w14:paraId="1E8963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措施到位，全部满足要求，进入“一般项”和“优选项”评分流程；否则，一票否决，为绿色施工不合格</w:t>
            </w:r>
            <w:r>
              <w:rPr>
                <w:rFonts w:hint="eastAsia" w:ascii="仿宋_GB2312" w:hAnsi="仿宋_GB2312" w:eastAsia="仿宋_GB2312" w:cs="仿宋_GB2312"/>
                <w:color w:val="auto"/>
                <w:spacing w:val="-2"/>
                <w:sz w:val="28"/>
                <w:szCs w:val="28"/>
                <w:lang w:eastAsia="zh-CN"/>
              </w:rPr>
              <w:t>。</w:t>
            </w:r>
          </w:p>
        </w:tc>
        <w:tc>
          <w:tcPr>
            <w:tcW w:w="1065" w:type="dxa"/>
            <w:noWrap w:val="0"/>
            <w:vAlign w:val="top"/>
          </w:tcPr>
          <w:p w14:paraId="3520B3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128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atLeast"/>
        </w:trPr>
        <w:tc>
          <w:tcPr>
            <w:tcW w:w="600" w:type="dxa"/>
            <w:vMerge w:val="continue"/>
            <w:tcBorders>
              <w:top w:val="nil"/>
              <w:bottom w:val="nil"/>
            </w:tcBorders>
            <w:noWrap w:val="0"/>
            <w:vAlign w:val="top"/>
          </w:tcPr>
          <w:p w14:paraId="6B5F9D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69" w:type="dxa"/>
            <w:gridSpan w:val="6"/>
            <w:noWrap w:val="0"/>
            <w:vAlign w:val="center"/>
          </w:tcPr>
          <w:p w14:paraId="267DDC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4.1.2施工现场应在醒目位置设置环境保护标识</w:t>
            </w:r>
          </w:p>
        </w:tc>
        <w:tc>
          <w:tcPr>
            <w:tcW w:w="1880" w:type="dxa"/>
            <w:gridSpan w:val="4"/>
            <w:vMerge w:val="continue"/>
            <w:noWrap w:val="0"/>
            <w:vAlign w:val="top"/>
          </w:tcPr>
          <w:p w14:paraId="53A700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402A6B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223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39" w:hRule="atLeast"/>
        </w:trPr>
        <w:tc>
          <w:tcPr>
            <w:tcW w:w="600" w:type="dxa"/>
            <w:vMerge w:val="continue"/>
            <w:tcBorders>
              <w:top w:val="nil"/>
            </w:tcBorders>
            <w:noWrap w:val="0"/>
            <w:vAlign w:val="top"/>
          </w:tcPr>
          <w:p w14:paraId="785420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69" w:type="dxa"/>
            <w:gridSpan w:val="6"/>
            <w:noWrap w:val="0"/>
            <w:vAlign w:val="center"/>
          </w:tcPr>
          <w:p w14:paraId="31EF8C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4.1.3施工现场的古迹、文物、树木及生态环境等应采取有效保护措施，制定地下文物保护应急预案</w:t>
            </w:r>
          </w:p>
        </w:tc>
        <w:tc>
          <w:tcPr>
            <w:tcW w:w="1880" w:type="dxa"/>
            <w:gridSpan w:val="4"/>
            <w:vMerge w:val="continue"/>
            <w:noWrap w:val="0"/>
            <w:vAlign w:val="top"/>
          </w:tcPr>
          <w:p w14:paraId="291C28F5">
            <w:pPr>
              <w:tabs>
                <w:tab w:val="left" w:pos="2020"/>
              </w:tabs>
              <w:bidi w:val="0"/>
              <w:jc w:val="left"/>
              <w:rPr>
                <w:rFonts w:hint="eastAsia" w:eastAsia="宋体"/>
                <w:color w:val="auto"/>
                <w:lang w:eastAsia="zh-CN"/>
              </w:rPr>
            </w:pPr>
          </w:p>
        </w:tc>
        <w:tc>
          <w:tcPr>
            <w:tcW w:w="1065" w:type="dxa"/>
            <w:noWrap w:val="0"/>
            <w:vAlign w:val="top"/>
          </w:tcPr>
          <w:p w14:paraId="413DD965">
            <w:pPr>
              <w:tabs>
                <w:tab w:val="left" w:pos="2020"/>
              </w:tabs>
              <w:bidi w:val="0"/>
              <w:jc w:val="left"/>
              <w:rPr>
                <w:rFonts w:hint="eastAsia"/>
                <w:color w:val="auto"/>
                <w:lang w:eastAsia="zh-CN"/>
              </w:rPr>
            </w:pPr>
          </w:p>
        </w:tc>
      </w:tr>
      <w:tr w14:paraId="6A59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7" w:hRule="atLeast"/>
        </w:trPr>
        <w:tc>
          <w:tcPr>
            <w:tcW w:w="600" w:type="dxa"/>
            <w:vMerge w:val="restart"/>
            <w:noWrap w:val="0"/>
            <w:vAlign w:val="center"/>
          </w:tcPr>
          <w:p w14:paraId="404EA6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一</w:t>
            </w:r>
          </w:p>
          <w:p w14:paraId="16C2F3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般</w:t>
            </w:r>
          </w:p>
          <w:p w14:paraId="36C041B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899" w:type="dxa"/>
            <w:gridSpan w:val="8"/>
            <w:tcBorders>
              <w:bottom w:val="single" w:color="auto" w:sz="4" w:space="0"/>
            </w:tcBorders>
            <w:noWrap w:val="0"/>
            <w:vAlign w:val="center"/>
          </w:tcPr>
          <w:p w14:paraId="2AE13E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标准条款及要求</w:t>
            </w:r>
          </w:p>
        </w:tc>
        <w:tc>
          <w:tcPr>
            <w:tcW w:w="1050" w:type="dxa"/>
            <w:gridSpan w:val="2"/>
            <w:tcBorders>
              <w:bottom w:val="single" w:color="auto" w:sz="4" w:space="0"/>
            </w:tcBorders>
            <w:noWrap w:val="0"/>
            <w:vAlign w:val="center"/>
          </w:tcPr>
          <w:p w14:paraId="486B7C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应得分</w:t>
            </w:r>
          </w:p>
        </w:tc>
        <w:tc>
          <w:tcPr>
            <w:tcW w:w="1065" w:type="dxa"/>
            <w:tcBorders>
              <w:bottom w:val="single" w:color="auto" w:sz="4" w:space="0"/>
            </w:tcBorders>
            <w:noWrap w:val="0"/>
            <w:vAlign w:val="center"/>
          </w:tcPr>
          <w:p w14:paraId="72D22D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val="en-US" w:eastAsia="zh-CN"/>
              </w:rPr>
              <w:t>实得分</w:t>
            </w:r>
          </w:p>
        </w:tc>
      </w:tr>
      <w:tr w14:paraId="0B174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65B31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7A376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4.2.1扬尘控制应包括下列内容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47B1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B548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1E2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B0564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B09D9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现场建立洒水清扫制度，配备洒水设备，并有专人负责</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DA244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D399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50FF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B23C5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E4598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对裸露地面、集中堆放的土方采取抑尘措施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C40B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2D5F8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1DD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70D68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AC1CE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现场进出口设车胎冲洗设施和吸湿垫，保持进出现场车辆清洁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5AF4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21D6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7CF9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179F5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2E8BA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易飞扬和细颗粒建筑材料封闭存放，余料回收</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3D2A6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0BB71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322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11D38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AC311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拆除、爆破、开挖、回填及易产生扬尘的施工作业有抑尘措施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CE1C4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C3E1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84D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2E446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C5087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高空垃圾清运采用封闭式管道或垂直运输机械</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07992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F81B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183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4FAA8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35AE4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遇有六级及以上大风天气时，停止土方开挖、回填、转运及其他可能产生扬尘污染的施工活动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8B406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7139B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822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FD3C0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D319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现场运送土石方、弃渣及易引起扬尘的材料时，车辆采取封闭或遮盖措施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8D6ED6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DE029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BC6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4EB548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5141BE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28FCD6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5F85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弃土场封闭，并进行临时性绿化</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EDC68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537D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1B3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5AB718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0CCA5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现场搅拌设有密闭和防尘措施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BB501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B283A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C65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84D60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5DB48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现场采用清洁燃料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14163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6A38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76F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3E784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EF875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4.2.2废气排放控制应包括下列内容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48653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E43A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279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78F75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06D85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施工车辆及机械设备废气排放符合国家年检要求</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70F41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52AF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643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04805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78902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现场厨房烟气净化后排放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F2C2E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ADA5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E146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62147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23FA3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在环境敏感区域内的施工现场进行喷漆作业时，设有防挥发物扩散措施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70A6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FD15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D17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BBDEE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1EFBA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4.2.3建筑垃圾处置应包括下列内容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45637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144F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75A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595F2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22017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制订建筑垃圾减量化专项方案，明确减量化、资源化具体指标及各项措施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A565E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66AA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75AA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A8E23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CF537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装配式建筑施工的垃圾排放量不大于200t/万m²,非装配式建筑施工的垃圾排放量不大于300t/万m²</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F81E7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D7A36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2B6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B5FF9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D626F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建筑垃圾回收利用率达到30%,建筑材料包装物回收利用率达到100%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19A2C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1D3B1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4B3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A1DE0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69D11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现场垃圾分类、封闭、集中堆放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76E53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DA73E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14B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5BC4D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DE73E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办理施工渣土、建筑废弃物等排放手续，按指定地点排放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DB44E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0F73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5E4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C0A34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F45D8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碎石和土石方类等建筑垃圾用作地基和路基回填材料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9D8D6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0641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012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2A987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E5F90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土方回填未采用有毒有害废弃物</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15736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C56DE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ECA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7DDC8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8675AF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施工现场办公用纸两面使用，废纸回收，废电池、废硒鼓、废墨盒、剩油漆、剩涂料等有毒有害的废弃物封闭分类存放，设置醒目标识，并由符合要求的专业机构消纳处置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A3A3A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6C098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6DB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A27E6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A1FCD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施工选用绿色、环保材料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18F5C5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D34B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24D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F1F0B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16DC8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4.2.4污水排放控制应包括下列内容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582DF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3A4F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B1D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91E2A6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69DE4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现场道路和材料堆放场地周边设置排水沟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CE2C5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5C88E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DD7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90A485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6CB31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工程污水和试验室养护用水处理合格后，排人市政污水管道，检测频率不少于士次/月</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59896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C4DB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2D8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79000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5D022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现场厕所设置化粪池，化粪池定期清理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3B2BE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955D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8CB3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E22FA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77EC1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工地厨房设置隔油池，定期清理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E147B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30CB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BF8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1EB9AC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3B61F3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34F5FA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D8D59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工地生活污水、预制场和搅拌站等施工污水达标排放和利用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83295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3D5C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FEB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271D9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69D8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钻孔桩、顶管或盾构法作业采用泥浆循环利用系统，不得外溢漫流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01E1A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A6225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2FE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6D7A0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702ED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4.2.5光污染控制应包括下列内容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F4A28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1F9F3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E498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E64D2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B6621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施工现场采取限时施工、遮光或封闭等防治光污染措施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91379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FBEBB5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67D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00" w:type="dxa"/>
            <w:vMerge w:val="continue"/>
            <w:tcBorders>
              <w:right w:val="single" w:color="auto" w:sz="4" w:space="0"/>
            </w:tcBorders>
            <w:noWrap w:val="0"/>
            <w:vAlign w:val="top"/>
          </w:tcPr>
          <w:p w14:paraId="47D554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3E781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焊接作业时，采取挡光措施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CFB2C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77A3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A7F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E6F434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A0D14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施工场区照明采取防止光线外泄措施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85C24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704D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9A2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FB12C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C15A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b/>
                <w:bCs/>
                <w:color w:val="auto"/>
                <w:spacing w:val="-2"/>
                <w:sz w:val="28"/>
                <w:szCs w:val="28"/>
              </w:rPr>
              <w:t>4.2.6噪声控制应包括下列内容</w:t>
            </w:r>
            <w:r>
              <w:rPr>
                <w:rFonts w:hint="eastAsia" w:ascii="仿宋_GB2312" w:hAnsi="仿宋_GB2312" w:eastAsia="仿宋_GB2312" w:cs="仿宋_GB2312"/>
                <w:b/>
                <w:bCs/>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6303D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306E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8FB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AE1A2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919BD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针对现场噪声源，采取隔声、吸声、消音等降噪措施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69E73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1AC4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44A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5DDDC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1ECD2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采用低噪声施工设备</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29E93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DAE58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9B2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C1F9C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DA070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噪声较大的机械设备远离现场办公区、生活区和周边敏感区</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4DCCE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21E34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C051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FDD12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D162A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混凝土输送泵、电锯等机械设备设置吸声降噪屏或其他降噪措施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C8AF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EDB5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53D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473D4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C0F75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施工作业面设置降噪设施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EF368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94AF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A37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86534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19846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材料装卸设置降噪垫层，轻拿轻放，控制材料撞击噪声</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6DA86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9274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53E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B5EBF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E1ABF5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施工场界声强限值昼间不大于70dB(A),夜间不大于55dB(A)</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57E02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97673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699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07F2F05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1AB0D6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49486B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89C42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4.3.1施工现场宜设置可移动厕所，并定期清运、消毒</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F299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F322B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94F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7027C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8F8903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4.3.2施工现场宜采用自动喷雾(淋)降尘系统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7E0D3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1EC0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10D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CF5E6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46A05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4.3.3施工场界宜设置扬尘自动监测仪，动态连续定量监测扬尘(TSP、PM10)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F5AFD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7982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B75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EA492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93905E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4.3.4施工场界宜设置动态连续噪声监测设施，保存昼夜噪声曲线</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CA451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4731A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41D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F52E7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8317E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4.3.5装配式建筑施工的垃圾排放量不宜大于140t/万m²,非装配式建筑施工的垃圾排放量不宜大于210t/万m²</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C1B12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1CF1A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75A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7C52C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B6E85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4.3.6建筑垃圾回收利用率宜达到50%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71FA2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6D8C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6E7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580E7B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6F40B1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22ED8D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7FB62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4.3.7施工现场宜采用地磅或自动监测平台，动态计量建筑废弃物重量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AF2B1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BD7EB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88F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3AC68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62970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4.3.8施工现场宜采用雨水就地渗透措施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51A86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1EC9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8F21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center"/>
          </w:tcPr>
          <w:p w14:paraId="285B5F3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596EA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4.3.9施工现场宜采用生态环保泥浆泥浆净化器反循环快速清孔等环境保护技术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4B94F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00D69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9A08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3F735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2D44E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4.3.10施工现场宜采用水封爆破、静态爆破等高效降尘的先进工艺</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5D930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12CF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CFA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6D253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80078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w:t>
            </w:r>
            <w:r>
              <w:rPr>
                <w:rFonts w:hint="eastAsia" w:ascii="仿宋_GB2312" w:hAnsi="仿宋_GB2312" w:eastAsia="仿宋_GB2312" w:cs="仿宋_GB2312"/>
                <w:color w:val="auto"/>
                <w:spacing w:val="-2"/>
                <w:sz w:val="28"/>
                <w:szCs w:val="28"/>
                <w:highlight w:val="none"/>
              </w:rPr>
              <w:t>1k</w:t>
            </w:r>
            <w:r>
              <w:rPr>
                <w:rFonts w:hint="eastAsia" w:ascii="仿宋_GB2312" w:hAnsi="仿宋_GB2312" w:eastAsia="仿宋_GB2312" w:cs="仿宋_GB2312"/>
                <w:color w:val="auto"/>
                <w:spacing w:val="-2"/>
                <w:sz w:val="28"/>
                <w:szCs w:val="28"/>
              </w:rPr>
              <w:t>土方施工宜采用水浸法湿润士壤等降尘方法</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95635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E9C9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105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2C0FB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BF243F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4.3.12施工现场淤泥质渣土宜经脱水后外运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F9CBB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B735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D78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5" w:hRule="atLeast"/>
        </w:trPr>
        <w:tc>
          <w:tcPr>
            <w:tcW w:w="600" w:type="dxa"/>
            <w:tcBorders>
              <w:right w:val="single" w:color="auto" w:sz="4" w:space="0"/>
            </w:tcBorders>
            <w:noWrap w:val="0"/>
            <w:vAlign w:val="center"/>
          </w:tcPr>
          <w:p w14:paraId="09F84E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评价结果</w:t>
            </w:r>
          </w:p>
        </w:tc>
        <w:tc>
          <w:tcPr>
            <w:tcW w:w="9014" w:type="dxa"/>
            <w:gridSpan w:val="11"/>
            <w:tcBorders>
              <w:top w:val="single" w:color="auto" w:sz="4" w:space="0"/>
              <w:left w:val="single" w:color="auto" w:sz="4" w:space="0"/>
              <w:bottom w:val="single" w:color="auto" w:sz="4" w:space="0"/>
              <w:right w:val="single" w:color="auto" w:sz="4" w:space="0"/>
            </w:tcBorders>
            <w:noWrap w:val="0"/>
            <w:vAlign w:val="center"/>
          </w:tcPr>
          <w:p w14:paraId="20E276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要素评价得分F=A+</w:t>
            </w:r>
            <w:r>
              <w:rPr>
                <w:rFonts w:hint="eastAsia" w:ascii="仿宋_GB2312" w:hAnsi="仿宋_GB2312" w:eastAsia="仿宋_GB2312" w:cs="仿宋_GB2312"/>
                <w:color w:val="auto"/>
                <w:spacing w:val="-2"/>
                <w:sz w:val="28"/>
                <w:szCs w:val="28"/>
                <w:lang w:val="en-US" w:eastAsia="zh-CN"/>
              </w:rPr>
              <w:t>D</w:t>
            </w:r>
          </w:p>
          <w:p w14:paraId="0F90A9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其中：A为</w:t>
            </w:r>
            <w:r>
              <w:rPr>
                <w:rFonts w:hint="eastAsia" w:ascii="仿宋_GB2312" w:hAnsi="仿宋_GB2312" w:eastAsia="仿宋_GB2312" w:cs="仿宋_GB2312"/>
                <w:color w:val="auto"/>
                <w:spacing w:val="-2"/>
                <w:sz w:val="28"/>
                <w:szCs w:val="28"/>
              </w:rPr>
              <w:t>一般项得分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A=</w:t>
            </w:r>
            <w:r>
              <w:rPr>
                <w:rFonts w:hint="eastAsia" w:ascii="仿宋_GB2312" w:hAnsi="仿宋_GB2312" w:eastAsia="仿宋_GB2312" w:cs="仿宋_GB2312"/>
                <w:color w:val="auto"/>
                <w:spacing w:val="-2"/>
                <w:sz w:val="28"/>
                <w:szCs w:val="28"/>
                <w:highlight w:val="none"/>
              </w:rPr>
              <w:t>(B/C)</w:t>
            </w:r>
            <w:r>
              <w:rPr>
                <w:rFonts w:hint="eastAsia" w:ascii="仿宋_GB2312" w:hAnsi="仿宋_GB2312" w:eastAsia="仿宋_GB2312" w:cs="仿宋_GB2312"/>
                <w:color w:val="auto"/>
                <w:spacing w:val="-2"/>
                <w:sz w:val="28"/>
                <w:szCs w:val="28"/>
              </w:rPr>
              <w:t>×100</w:t>
            </w:r>
          </w:p>
          <w:p w14:paraId="4B7FF7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B:实际发生项实际得分之和</w:t>
            </w:r>
          </w:p>
          <w:p w14:paraId="4C2ABE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C实际发生项应得分项</w:t>
            </w:r>
          </w:p>
          <w:p w14:paraId="5836DE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D为优选项得分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优选项实际发生项目加分之和。</w:t>
            </w:r>
          </w:p>
          <w:p w14:paraId="2E8F89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实际得分：</w:t>
            </w:r>
          </w:p>
        </w:tc>
      </w:tr>
      <w:tr w14:paraId="7C27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rPr>
        <w:tc>
          <w:tcPr>
            <w:tcW w:w="1373" w:type="dxa"/>
            <w:gridSpan w:val="2"/>
            <w:vMerge w:val="restart"/>
            <w:noWrap w:val="0"/>
            <w:vAlign w:val="center"/>
          </w:tcPr>
          <w:p w14:paraId="0F7886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4"/>
                <w:szCs w:val="24"/>
                <w:lang w:val="en-US" w:eastAsia="zh-CN" w:bidi="ar-SA"/>
              </w:rPr>
              <w:t>签字栏</w:t>
            </w:r>
          </w:p>
        </w:tc>
        <w:tc>
          <w:tcPr>
            <w:tcW w:w="2746" w:type="dxa"/>
            <w:gridSpan w:val="3"/>
            <w:noWrap w:val="0"/>
            <w:vAlign w:val="center"/>
          </w:tcPr>
          <w:p w14:paraId="04544B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noWrap w:val="0"/>
            <w:vAlign w:val="center"/>
          </w:tcPr>
          <w:p w14:paraId="5822F8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4"/>
            <w:noWrap w:val="0"/>
            <w:vAlign w:val="center"/>
          </w:tcPr>
          <w:p w14:paraId="389207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75171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trPr>
        <w:tc>
          <w:tcPr>
            <w:tcW w:w="1373" w:type="dxa"/>
            <w:gridSpan w:val="2"/>
            <w:vMerge w:val="continue"/>
            <w:noWrap w:val="0"/>
            <w:vAlign w:val="center"/>
          </w:tcPr>
          <w:p w14:paraId="0B91A7C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c>
          <w:tcPr>
            <w:tcW w:w="1373" w:type="dxa"/>
            <w:gridSpan w:val="2"/>
            <w:noWrap w:val="0"/>
            <w:vAlign w:val="center"/>
          </w:tcPr>
          <w:p w14:paraId="6B98093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noWrap w:val="0"/>
            <w:vAlign w:val="center"/>
          </w:tcPr>
          <w:p w14:paraId="53F13D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noWrap w:val="0"/>
            <w:vAlign w:val="center"/>
          </w:tcPr>
          <w:p w14:paraId="0A1FAA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noWrap w:val="0"/>
            <w:vAlign w:val="center"/>
          </w:tcPr>
          <w:p w14:paraId="7D1C9D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gridSpan w:val="2"/>
            <w:noWrap w:val="0"/>
            <w:vAlign w:val="center"/>
          </w:tcPr>
          <w:p w14:paraId="586F0B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noWrap w:val="0"/>
            <w:vAlign w:val="center"/>
          </w:tcPr>
          <w:p w14:paraId="3B0472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1E06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0" w:hRule="atLeast"/>
        </w:trPr>
        <w:tc>
          <w:tcPr>
            <w:tcW w:w="1373" w:type="dxa"/>
            <w:gridSpan w:val="2"/>
            <w:vMerge w:val="continue"/>
            <w:noWrap w:val="0"/>
            <w:vAlign w:val="center"/>
          </w:tcPr>
          <w:p w14:paraId="36CDAB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p>
        </w:tc>
        <w:tc>
          <w:tcPr>
            <w:tcW w:w="1373" w:type="dxa"/>
            <w:gridSpan w:val="2"/>
            <w:noWrap w:val="0"/>
            <w:vAlign w:val="center"/>
          </w:tcPr>
          <w:p w14:paraId="6139851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1FD94B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12E81E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3C5546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7A68A0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6" w:type="dxa"/>
            <w:gridSpan w:val="2"/>
            <w:noWrap w:val="0"/>
            <w:vAlign w:val="center"/>
          </w:tcPr>
          <w:p w14:paraId="4A4FD8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r>
    </w:tbl>
    <w:p w14:paraId="053FB8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计分标准：</w:t>
      </w:r>
      <w:r>
        <w:rPr>
          <w:rFonts w:hint="eastAsia" w:ascii="仿宋_GB2312" w:hAnsi="仿宋_GB2312" w:eastAsia="仿宋_GB2312" w:cs="仿宋_GB2312"/>
          <w:color w:val="auto"/>
          <w:spacing w:val="-2"/>
          <w:sz w:val="28"/>
          <w:szCs w:val="28"/>
        </w:rPr>
        <w:t>每一子目应得分为2分，实得分则根据现场实际情况按0～2分选择：</w:t>
      </w:r>
    </w:p>
    <w:p w14:paraId="52FE85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①措施到位，满足考评指标要求，得分：2;</w:t>
      </w:r>
    </w:p>
    <w:p w14:paraId="6076EE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②措施到位，基本满足考评指标要求，得分：1;</w:t>
      </w:r>
    </w:p>
    <w:p w14:paraId="01F19C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③措施不到位，不满足考评指标要求，得分：0</w:t>
      </w:r>
    </w:p>
    <w:p w14:paraId="417BFCCA">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sz w:val="28"/>
          <w:szCs w:val="28"/>
          <w:lang w:val="en-US" w:eastAsia="zh-CN"/>
        </w:rPr>
        <w:br w:type="page"/>
      </w:r>
      <w:r>
        <w:rPr>
          <w:rFonts w:hint="eastAsia" w:ascii="方正小标宋简体" w:hAnsi="方正小标宋简体" w:eastAsia="方正小标宋简体" w:cs="方正小标宋简体"/>
          <w:b w:val="0"/>
          <w:bCs w:val="0"/>
          <w:color w:val="auto"/>
          <w:spacing w:val="-1"/>
          <w:sz w:val="32"/>
          <w:szCs w:val="32"/>
          <w:lang w:val="en-US" w:eastAsia="zh-CN"/>
        </w:rPr>
        <w:t>资源节约要素评价汇总表（表2-3）</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137"/>
        <w:gridCol w:w="236"/>
        <w:gridCol w:w="634"/>
        <w:gridCol w:w="739"/>
        <w:gridCol w:w="311"/>
        <w:gridCol w:w="1065"/>
      </w:tblGrid>
      <w:tr w14:paraId="18E14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rPr>
        <w:tc>
          <w:tcPr>
            <w:tcW w:w="1950" w:type="dxa"/>
            <w:gridSpan w:val="3"/>
            <w:tcBorders>
              <w:bottom w:val="nil"/>
            </w:tcBorders>
            <w:noWrap w:val="0"/>
            <w:vAlign w:val="center"/>
          </w:tcPr>
          <w:p w14:paraId="39D5EE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9"/>
            <w:tcBorders>
              <w:bottom w:val="nil"/>
            </w:tcBorders>
            <w:noWrap w:val="0"/>
            <w:vAlign w:val="center"/>
          </w:tcPr>
          <w:p w14:paraId="32D0185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642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3" w:hRule="atLeast"/>
        </w:trPr>
        <w:tc>
          <w:tcPr>
            <w:tcW w:w="1950" w:type="dxa"/>
            <w:gridSpan w:val="3"/>
            <w:tcBorders>
              <w:bottom w:val="nil"/>
            </w:tcBorders>
            <w:noWrap w:val="0"/>
            <w:vAlign w:val="center"/>
          </w:tcPr>
          <w:p w14:paraId="7D72792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9"/>
            <w:tcBorders>
              <w:bottom w:val="nil"/>
            </w:tcBorders>
            <w:noWrap w:val="0"/>
            <w:vAlign w:val="center"/>
          </w:tcPr>
          <w:p w14:paraId="080F1A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85B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2" w:hRule="atLeast"/>
        </w:trPr>
        <w:tc>
          <w:tcPr>
            <w:tcW w:w="1950" w:type="dxa"/>
            <w:gridSpan w:val="3"/>
            <w:tcBorders>
              <w:bottom w:val="nil"/>
            </w:tcBorders>
            <w:noWrap w:val="0"/>
            <w:vAlign w:val="center"/>
          </w:tcPr>
          <w:p w14:paraId="4406DD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9"/>
            <w:tcBorders>
              <w:bottom w:val="nil"/>
            </w:tcBorders>
            <w:noWrap w:val="0"/>
            <w:vAlign w:val="center"/>
          </w:tcPr>
          <w:p w14:paraId="67672B0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0FE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1950" w:type="dxa"/>
            <w:gridSpan w:val="3"/>
            <w:tcBorders>
              <w:bottom w:val="nil"/>
            </w:tcBorders>
            <w:noWrap w:val="0"/>
            <w:vAlign w:val="center"/>
          </w:tcPr>
          <w:p w14:paraId="45C926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7B0370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9"/>
            <w:tcBorders>
              <w:bottom w:val="nil"/>
            </w:tcBorders>
            <w:noWrap w:val="0"/>
            <w:vAlign w:val="center"/>
          </w:tcPr>
          <w:p w14:paraId="5D2B59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F846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7" w:hRule="atLeast"/>
        </w:trPr>
        <w:tc>
          <w:tcPr>
            <w:tcW w:w="1950" w:type="dxa"/>
            <w:gridSpan w:val="3"/>
            <w:tcBorders>
              <w:bottom w:val="nil"/>
            </w:tcBorders>
            <w:noWrap w:val="0"/>
            <w:vAlign w:val="center"/>
          </w:tcPr>
          <w:p w14:paraId="55D2DA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9"/>
            <w:tcBorders>
              <w:bottom w:val="nil"/>
            </w:tcBorders>
            <w:noWrap w:val="0"/>
            <w:vAlign w:val="center"/>
          </w:tcPr>
          <w:p w14:paraId="6ED15D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EFD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600" w:type="dxa"/>
            <w:vMerge w:val="restart"/>
            <w:tcBorders>
              <w:bottom w:val="nil"/>
            </w:tcBorders>
            <w:noWrap w:val="0"/>
            <w:vAlign w:val="center"/>
          </w:tcPr>
          <w:p w14:paraId="2240A0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控</w:t>
            </w:r>
          </w:p>
          <w:p w14:paraId="74F27F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制</w:t>
            </w:r>
          </w:p>
          <w:p w14:paraId="213359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029" w:type="dxa"/>
            <w:gridSpan w:val="6"/>
            <w:noWrap w:val="0"/>
            <w:vAlign w:val="center"/>
          </w:tcPr>
          <w:p w14:paraId="55F880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920" w:type="dxa"/>
            <w:gridSpan w:val="4"/>
            <w:noWrap w:val="0"/>
            <w:vAlign w:val="center"/>
          </w:tcPr>
          <w:p w14:paraId="14B4011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5BA65A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22AB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1" w:hRule="atLeast"/>
        </w:trPr>
        <w:tc>
          <w:tcPr>
            <w:tcW w:w="600" w:type="dxa"/>
            <w:vMerge w:val="continue"/>
            <w:tcBorders>
              <w:top w:val="nil"/>
              <w:bottom w:val="nil"/>
            </w:tcBorders>
            <w:noWrap w:val="0"/>
            <w:vAlign w:val="top"/>
          </w:tcPr>
          <w:p w14:paraId="0535F6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54DBD6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5.1.1</w:t>
            </w:r>
            <w:r>
              <w:rPr>
                <w:rFonts w:hint="eastAsia" w:ascii="仿宋_GB2312" w:hAnsi="仿宋_GB2312" w:eastAsia="仿宋_GB2312" w:cs="仿宋_GB2312"/>
                <w:color w:val="auto"/>
                <w:spacing w:val="-2"/>
                <w:sz w:val="28"/>
                <w:szCs w:val="28"/>
              </w:rPr>
              <w:t>绿色施工策划文件中应涵盖资源节约与利用的内容</w:t>
            </w:r>
            <w:r>
              <w:rPr>
                <w:rFonts w:hint="eastAsia" w:ascii="仿宋_GB2312" w:hAnsi="仿宋_GB2312" w:eastAsia="仿宋_GB2312" w:cs="仿宋_GB2312"/>
                <w:color w:val="auto"/>
                <w:spacing w:val="-2"/>
                <w:sz w:val="28"/>
                <w:szCs w:val="28"/>
                <w:lang w:eastAsia="zh-CN"/>
              </w:rPr>
              <w:t>。</w:t>
            </w:r>
          </w:p>
        </w:tc>
        <w:tc>
          <w:tcPr>
            <w:tcW w:w="1920" w:type="dxa"/>
            <w:gridSpan w:val="4"/>
            <w:vMerge w:val="restart"/>
            <w:noWrap w:val="0"/>
            <w:vAlign w:val="center"/>
          </w:tcPr>
          <w:p w14:paraId="56CC91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措施到位，全部满足要求，进入“一般项”和“优选项”评分流程；否则，一票否决，为绿色施工不合格</w:t>
            </w:r>
            <w:r>
              <w:rPr>
                <w:rFonts w:hint="eastAsia" w:ascii="仿宋_GB2312" w:hAnsi="仿宋_GB2312" w:eastAsia="仿宋_GB2312" w:cs="仿宋_GB2312"/>
                <w:color w:val="auto"/>
                <w:spacing w:val="-2"/>
                <w:sz w:val="28"/>
                <w:szCs w:val="28"/>
                <w:lang w:eastAsia="zh-CN"/>
              </w:rPr>
              <w:t>。</w:t>
            </w:r>
          </w:p>
        </w:tc>
        <w:tc>
          <w:tcPr>
            <w:tcW w:w="1065" w:type="dxa"/>
            <w:noWrap w:val="0"/>
            <w:vAlign w:val="top"/>
          </w:tcPr>
          <w:p w14:paraId="4F8886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82A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9" w:hRule="atLeast"/>
        </w:trPr>
        <w:tc>
          <w:tcPr>
            <w:tcW w:w="600" w:type="dxa"/>
            <w:vMerge w:val="continue"/>
            <w:tcBorders>
              <w:top w:val="nil"/>
              <w:bottom w:val="nil"/>
            </w:tcBorders>
            <w:noWrap w:val="0"/>
            <w:vAlign w:val="top"/>
          </w:tcPr>
          <w:p w14:paraId="55EEF2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74D8F0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5.1.2</w:t>
            </w:r>
            <w:r>
              <w:rPr>
                <w:rFonts w:hint="eastAsia" w:ascii="仿宋_GB2312" w:hAnsi="仿宋_GB2312" w:eastAsia="仿宋_GB2312" w:cs="仿宋_GB2312"/>
                <w:color w:val="auto"/>
                <w:spacing w:val="-2"/>
                <w:sz w:val="28"/>
                <w:szCs w:val="28"/>
              </w:rPr>
              <w:t>项目部应建立具体材料进场计划，以及材料采购、限额领料等管理制度</w:t>
            </w:r>
            <w:r>
              <w:rPr>
                <w:rFonts w:hint="eastAsia" w:ascii="仿宋_GB2312" w:hAnsi="仿宋_GB2312" w:eastAsia="仿宋_GB2312" w:cs="仿宋_GB2312"/>
                <w:color w:val="auto"/>
                <w:spacing w:val="-2"/>
                <w:sz w:val="28"/>
                <w:szCs w:val="28"/>
                <w:lang w:eastAsia="zh-CN"/>
              </w:rPr>
              <w:t>。</w:t>
            </w:r>
          </w:p>
        </w:tc>
        <w:tc>
          <w:tcPr>
            <w:tcW w:w="1920" w:type="dxa"/>
            <w:gridSpan w:val="4"/>
            <w:vMerge w:val="continue"/>
            <w:noWrap w:val="0"/>
            <w:vAlign w:val="top"/>
          </w:tcPr>
          <w:p w14:paraId="391FE0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65A228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C8E9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4" w:hRule="atLeast"/>
        </w:trPr>
        <w:tc>
          <w:tcPr>
            <w:tcW w:w="600" w:type="dxa"/>
            <w:vMerge w:val="continue"/>
            <w:tcBorders>
              <w:top w:val="nil"/>
            </w:tcBorders>
            <w:noWrap w:val="0"/>
            <w:vAlign w:val="top"/>
          </w:tcPr>
          <w:p w14:paraId="7F2311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019C8C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5.1.3</w:t>
            </w:r>
            <w:r>
              <w:rPr>
                <w:rFonts w:hint="eastAsia" w:ascii="仿宋_GB2312" w:hAnsi="仿宋_GB2312" w:eastAsia="仿宋_GB2312" w:cs="仿宋_GB2312"/>
                <w:color w:val="auto"/>
                <w:spacing w:val="-2"/>
                <w:sz w:val="28"/>
                <w:szCs w:val="28"/>
              </w:rPr>
              <w:t>项目部应制订用水、用能消耗指标，办公区、生活区、生产区用水、用能单独计量，并建立台账</w:t>
            </w:r>
          </w:p>
        </w:tc>
        <w:tc>
          <w:tcPr>
            <w:tcW w:w="1920" w:type="dxa"/>
            <w:gridSpan w:val="4"/>
            <w:vMerge w:val="continue"/>
            <w:noWrap w:val="0"/>
            <w:vAlign w:val="top"/>
          </w:tcPr>
          <w:p w14:paraId="3EDD9BA2">
            <w:pPr>
              <w:tabs>
                <w:tab w:val="left" w:pos="2020"/>
              </w:tabs>
              <w:bidi w:val="0"/>
              <w:jc w:val="left"/>
              <w:rPr>
                <w:rFonts w:hint="eastAsia" w:eastAsia="宋体"/>
                <w:color w:val="auto"/>
                <w:lang w:eastAsia="zh-CN"/>
              </w:rPr>
            </w:pPr>
          </w:p>
        </w:tc>
        <w:tc>
          <w:tcPr>
            <w:tcW w:w="1065" w:type="dxa"/>
            <w:noWrap w:val="0"/>
            <w:vAlign w:val="top"/>
          </w:tcPr>
          <w:p w14:paraId="69BB099B">
            <w:pPr>
              <w:tabs>
                <w:tab w:val="left" w:pos="2020"/>
              </w:tabs>
              <w:bidi w:val="0"/>
              <w:jc w:val="left"/>
              <w:rPr>
                <w:rFonts w:hint="eastAsia"/>
                <w:color w:val="auto"/>
                <w:lang w:eastAsia="zh-CN"/>
              </w:rPr>
            </w:pPr>
          </w:p>
        </w:tc>
      </w:tr>
      <w:tr w14:paraId="58C6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9" w:hRule="atLeast"/>
        </w:trPr>
        <w:tc>
          <w:tcPr>
            <w:tcW w:w="600" w:type="dxa"/>
            <w:vMerge w:val="continue"/>
            <w:tcBorders>
              <w:top w:val="nil"/>
            </w:tcBorders>
            <w:noWrap w:val="0"/>
            <w:vAlign w:val="top"/>
          </w:tcPr>
          <w:p w14:paraId="3D1845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27A7C1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5.1.4</w:t>
            </w:r>
            <w:r>
              <w:rPr>
                <w:rFonts w:hint="eastAsia" w:ascii="仿宋_GB2312" w:hAnsi="仿宋_GB2312" w:eastAsia="仿宋_GB2312" w:cs="仿宋_GB2312"/>
                <w:color w:val="auto"/>
                <w:spacing w:val="-2"/>
                <w:sz w:val="28"/>
                <w:szCs w:val="28"/>
              </w:rPr>
              <w:t>项目部应了解施工场地及毗邻区域内人文景观、特殊地质及基础设施管线分布情况，制订相应的用地计划和保护措施</w:t>
            </w:r>
            <w:r>
              <w:rPr>
                <w:rFonts w:hint="eastAsia" w:ascii="仿宋_GB2312" w:hAnsi="仿宋_GB2312" w:eastAsia="仿宋_GB2312" w:cs="仿宋_GB2312"/>
                <w:color w:val="auto"/>
                <w:spacing w:val="-2"/>
                <w:sz w:val="28"/>
                <w:szCs w:val="28"/>
                <w:lang w:eastAsia="zh-CN"/>
              </w:rPr>
              <w:t>。</w:t>
            </w:r>
          </w:p>
        </w:tc>
        <w:tc>
          <w:tcPr>
            <w:tcW w:w="1920" w:type="dxa"/>
            <w:gridSpan w:val="4"/>
            <w:vMerge w:val="continue"/>
            <w:noWrap w:val="0"/>
            <w:vAlign w:val="top"/>
          </w:tcPr>
          <w:p w14:paraId="145F843E">
            <w:pPr>
              <w:tabs>
                <w:tab w:val="left" w:pos="2020"/>
              </w:tabs>
              <w:bidi w:val="0"/>
              <w:jc w:val="left"/>
              <w:rPr>
                <w:rFonts w:hint="eastAsia" w:eastAsia="宋体"/>
                <w:color w:val="auto"/>
                <w:lang w:eastAsia="zh-CN"/>
              </w:rPr>
            </w:pPr>
          </w:p>
        </w:tc>
        <w:tc>
          <w:tcPr>
            <w:tcW w:w="1065" w:type="dxa"/>
            <w:noWrap w:val="0"/>
            <w:vAlign w:val="top"/>
          </w:tcPr>
          <w:p w14:paraId="3F8D06BA">
            <w:pPr>
              <w:tabs>
                <w:tab w:val="left" w:pos="2020"/>
              </w:tabs>
              <w:bidi w:val="0"/>
              <w:jc w:val="left"/>
              <w:rPr>
                <w:rFonts w:hint="eastAsia"/>
                <w:color w:val="auto"/>
                <w:lang w:eastAsia="zh-CN"/>
              </w:rPr>
            </w:pPr>
          </w:p>
        </w:tc>
      </w:tr>
      <w:tr w14:paraId="4167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600" w:type="dxa"/>
            <w:noWrap w:val="0"/>
            <w:vAlign w:val="center"/>
          </w:tcPr>
          <w:p w14:paraId="5A664C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bottom w:val="single" w:color="auto" w:sz="4" w:space="0"/>
            </w:tcBorders>
            <w:noWrap w:val="0"/>
            <w:vAlign w:val="center"/>
          </w:tcPr>
          <w:p w14:paraId="62A4BC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标准条款及要求</w:t>
            </w:r>
          </w:p>
        </w:tc>
        <w:tc>
          <w:tcPr>
            <w:tcW w:w="1050" w:type="dxa"/>
            <w:gridSpan w:val="2"/>
            <w:tcBorders>
              <w:bottom w:val="single" w:color="auto" w:sz="4" w:space="0"/>
            </w:tcBorders>
            <w:noWrap w:val="0"/>
            <w:vAlign w:val="center"/>
          </w:tcPr>
          <w:p w14:paraId="683336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应得分</w:t>
            </w:r>
          </w:p>
        </w:tc>
        <w:tc>
          <w:tcPr>
            <w:tcW w:w="1065" w:type="dxa"/>
            <w:tcBorders>
              <w:bottom w:val="single" w:color="auto" w:sz="4" w:space="0"/>
            </w:tcBorders>
            <w:noWrap w:val="0"/>
            <w:vAlign w:val="center"/>
          </w:tcPr>
          <w:p w14:paraId="69BB39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val="en-US" w:eastAsia="zh-CN"/>
              </w:rPr>
              <w:t>实得分</w:t>
            </w:r>
          </w:p>
        </w:tc>
      </w:tr>
      <w:tr w14:paraId="728B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644DFE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一</w:t>
            </w:r>
          </w:p>
          <w:p w14:paraId="4632B3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般</w:t>
            </w:r>
          </w:p>
          <w:p w14:paraId="49915B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1E47A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5.2.1临时设施应包括下列内容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737A7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1AC5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7B3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3" w:hRule="atLeast"/>
        </w:trPr>
        <w:tc>
          <w:tcPr>
            <w:tcW w:w="600" w:type="dxa"/>
            <w:vMerge w:val="continue"/>
            <w:noWrap w:val="0"/>
            <w:vAlign w:val="top"/>
          </w:tcPr>
          <w:p w14:paraId="488A7DC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62B34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合理规划设计临时用电线路铺设、配电箱配置和照明布局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8B666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D6DC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809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728BE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64C18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办公区和生活区节能照明灯具配置率达到100%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2770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39D7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CC6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5CB62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F2B35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合理设计临时用水系统，供水管线及末端无渗漏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AFB18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1207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37B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089EB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2957E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临时用水系统节水器具配置率达到100%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DE30A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1CEE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695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D354D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58127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采用多层、可周转装配式临时办公及生活用房</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74008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0AFA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E60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857D7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3A2D5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临时用房围护结构满足节能指标，外窗有遮阳设施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F80F6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E2573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5D4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6" w:hRule="atLeast"/>
        </w:trPr>
        <w:tc>
          <w:tcPr>
            <w:tcW w:w="600" w:type="dxa"/>
            <w:vMerge w:val="restart"/>
            <w:noWrap w:val="0"/>
            <w:vAlign w:val="center"/>
          </w:tcPr>
          <w:p w14:paraId="779E05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0A56C4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764A35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7DE7A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采用可周转装配式场界围挡和临时路面</w:t>
            </w:r>
          </w:p>
        </w:tc>
        <w:tc>
          <w:tcPr>
            <w:tcW w:w="1050" w:type="dxa"/>
            <w:gridSpan w:val="2"/>
            <w:tcBorders>
              <w:top w:val="single" w:color="auto" w:sz="4" w:space="0"/>
              <w:left w:val="single" w:color="auto" w:sz="4" w:space="0"/>
              <w:right w:val="single" w:color="auto" w:sz="4" w:space="0"/>
            </w:tcBorders>
            <w:noWrap w:val="0"/>
            <w:vAlign w:val="center"/>
          </w:tcPr>
          <w:p w14:paraId="7C5811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right w:val="single" w:color="auto" w:sz="4" w:space="0"/>
            </w:tcBorders>
            <w:noWrap w:val="0"/>
            <w:vAlign w:val="center"/>
          </w:tcPr>
          <w:p w14:paraId="30A871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BB5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C6534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20349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采用标准化、可周转装配式作业工棚、试验用房及安全防护设施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D1AF5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9AB9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433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247B2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572F2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利用既有建筑物、市政设施和周边道路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46F58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98FA5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511A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4C31A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71469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采用永临结合技术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06D80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F8385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9C6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52875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DD5A5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使用再生建筑材料建设临时设施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ECA6C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DDB8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E8F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AEAA1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D698D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5.2.2材料节约应包括下列内容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302DD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6D0B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C3A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F7847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43108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利用BIM等信息技术，深化设计、优化方案，减少用材，降低损耗</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DA998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3E1E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E51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49FF6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7FD85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采用管件合一的脚手架和支撑体系</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F040E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A51D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3C6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34985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63811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采用高周转率的新型模架体系</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1DDD5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8A43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A26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30B3A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B814D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采用钢或钢木组合龙骨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B3470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F39B8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47F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69914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A93DD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利用粉煤灰、矿渣、外加剂及新材料，减少水泥用量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2E613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B20C4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018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8AD22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52A9A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现场使用预拌混凝土、预拌砂浆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02329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D4B88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56A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CD1D2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E9F47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钢筋连接采用对接、机械等低损耗连接方式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D0BC8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F1EF6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715D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D414D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16729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墙、地块材饰面预先总体排板，合理选材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96EC6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261C4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5CB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AE231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1E8B3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对工程成品采取保护措施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84A10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124BA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0205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D9F0D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F51C7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5.2.3用水节约应包括下列内容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D75D9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1F47CC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0BF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2AD6C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86DB0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混凝土养护采用覆膜、喷淋设备、养护液等节水工艺</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CCFA2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FFE2E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941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00F3B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54B4B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管道打压采用循环水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1923B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8593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F0F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9F0D8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BD6D4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施工废水与生活废水有收集管网、处理设施和利用措施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35F1B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B7D1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D0A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0ED5B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01B60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雨水和基坑降水产生的地下水有收集管网、处理设施和利用措施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F75D9D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8236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768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8502C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18AFE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喷洒路面、绿化浇灌采用非传统水源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BBFEF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AB54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90F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E4378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948E5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现场冲洗机具、设备和车辆采用非传统水源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04CB6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1F7B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925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95C66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E547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非传统水源经过处理和检验合格后作为施工、生活非饮用水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C1B24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66FC2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60B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21857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6CDA7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采用非传统水源，并建立使用台账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A64E5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EFC5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FA8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41AAF8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D830C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5.2.4水资源保护应包括下列内容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B79F1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08F87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CC7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217354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51C112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63C39D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2F1A1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采用基坑封闭降水施工技术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2EF167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FFCC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01F9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33625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01BA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基坑抽水采用动态管理技术，减少地下水开采量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E1FFC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BD27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6C7F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59297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D688D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不得向水体倾倒有毒有害物品及垃圾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CF093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CC6B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6FE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00" w:type="dxa"/>
            <w:vMerge w:val="continue"/>
            <w:tcBorders>
              <w:right w:val="single" w:color="auto" w:sz="4" w:space="0"/>
            </w:tcBorders>
            <w:noWrap w:val="0"/>
            <w:vAlign w:val="top"/>
          </w:tcPr>
          <w:p w14:paraId="0C3C88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96304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制定水上和水下机械作业方案，并采取安全和防污染措施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1CF2C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C9E5E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32D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B51B2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D8C83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b/>
                <w:bCs/>
                <w:color w:val="auto"/>
                <w:spacing w:val="-2"/>
                <w:sz w:val="28"/>
                <w:szCs w:val="28"/>
              </w:rPr>
              <w:t>5.2.5能源节约应包括下列内容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A3A7A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AF9D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4A19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608F0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9D6FBA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合理安排施工工序和施工进度，共享施工机具资源，减少垂直运输设备能耗，避免集中使用大功率设备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13BE0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4862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BB2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5A408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9D2D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建立机械设备管理档案，定期检查保养</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AAF29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D1E3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FF3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27667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EE285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高能耗设备单独配置计量仪器，定期监控能源利用情况，并有记录</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F7875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0FDD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0CC0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24181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884BB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建筑材料及设备的选用应根据就近原则，500km以内生产的建筑材料及设备重量占比大于70%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F0201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FB049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4D5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5056B8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2DF7D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合理布置施工总平面图，避免现场二次搬运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D5E448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CDDFE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1ED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28FC4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1C7DD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减少夜间作业、冬期施工和雨天施工时间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3B8FC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DC3B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8C84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292E2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DF0C4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地下工程混凝土施工采用溜槽或电筒浇筑</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DBD22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45B0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1CF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532E7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A04231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b/>
                <w:bCs/>
                <w:color w:val="auto"/>
                <w:spacing w:val="-2"/>
                <w:sz w:val="28"/>
                <w:szCs w:val="28"/>
              </w:rPr>
              <w:t>5.2.6土地保护应包括下列内容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5B39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1B48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952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center"/>
          </w:tcPr>
          <w:p w14:paraId="5B7805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12945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lang w:val="en-US" w:eastAsia="zh-CN"/>
              </w:rPr>
              <w:t>1.</w:t>
            </w:r>
            <w:r>
              <w:rPr>
                <w:rFonts w:hint="eastAsia" w:ascii="仿宋_GB2312" w:hAnsi="仿宋_GB2312" w:eastAsia="仿宋_GB2312" w:cs="仿宋_GB2312"/>
                <w:color w:val="auto"/>
                <w:spacing w:val="-2"/>
                <w:sz w:val="28"/>
                <w:szCs w:val="28"/>
              </w:rPr>
              <w:t>施工总平面根据功能分区集中布置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49B77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92DEF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395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469FA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6001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采取措施，防止施工现场土壤侵蚀、水土流失</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A528E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F926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FE0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7E4524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3A444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优化土石方工程施工方案，减少土方开挖和回填量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8ED3D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01728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C0C0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35685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8CD1C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危险品、化学品存放处采取隔离措施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DA8D1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F09F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EFD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7A291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CD88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污水排放管道不得渗漏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FC77C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6D82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4ED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7817B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0C02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对机用废油、涂料等有害液体进行回收，不得随意排放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FA334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E71D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28E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73C78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E554F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工程施工完成后，进行地貌和植被复原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05124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5FCB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66E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 w:hRule="atLeast"/>
        </w:trPr>
        <w:tc>
          <w:tcPr>
            <w:tcW w:w="600" w:type="dxa"/>
            <w:vMerge w:val="restart"/>
            <w:tcBorders>
              <w:right w:val="single" w:color="auto" w:sz="4" w:space="0"/>
            </w:tcBorders>
            <w:noWrap w:val="0"/>
            <w:vAlign w:val="center"/>
          </w:tcPr>
          <w:p w14:paraId="47176E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693241B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25E79D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CCBB3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highlight w:val="none"/>
                <w:lang w:val="en-US" w:eastAsia="en-US" w:bidi="ar-SA"/>
              </w:rPr>
            </w:pPr>
            <w:r>
              <w:rPr>
                <w:rFonts w:hint="eastAsia" w:ascii="仿宋_GB2312" w:hAnsi="仿宋_GB2312" w:eastAsia="仿宋_GB2312" w:cs="仿宋_GB2312"/>
                <w:color w:val="auto"/>
                <w:spacing w:val="-2"/>
                <w:sz w:val="28"/>
                <w:szCs w:val="28"/>
                <w:highlight w:val="none"/>
              </w:rPr>
              <w:t>5.3.1主要建筑材料损耗率比定额损耗率低50%以上</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9F9E1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6EA94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BE2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460AC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00702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highlight w:val="none"/>
                <w:lang w:val="en-US" w:eastAsia="en-US" w:bidi="ar-SA"/>
              </w:rPr>
            </w:pPr>
            <w:r>
              <w:rPr>
                <w:rFonts w:hint="eastAsia" w:ascii="仿宋_GB2312" w:hAnsi="仿宋_GB2312" w:eastAsia="仿宋_GB2312" w:cs="仿宋_GB2312"/>
                <w:color w:val="auto"/>
                <w:spacing w:val="-2"/>
                <w:sz w:val="28"/>
                <w:szCs w:val="28"/>
                <w:highlight w:val="none"/>
              </w:rPr>
              <w:t>5.3.2采用钢筋工厂化加工和集中配送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354C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5D78C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7FD3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F0E70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B5DD75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5.3.3大宗板材、线材定尺采购，集中配送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3AEE9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527B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FB7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0E511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39F79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5.3.4采用清水混凝土技术、免抹灰技术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B3644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6CEFF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617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43B9D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0D4FE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5.3.5充分利用物联网技术管控物资、设备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546CE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BCE0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C97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62266B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63C057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3B5298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109E3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5.3.6采用无污染地下水回灌</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382E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3311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42A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D82A7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0E6BF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5.3.7施工现场采用可周转的恒温恒湿蒸汽养护设施与自动控制系统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5DAFA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49BC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0FA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C0DD1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1AF6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5.3.8设置在海岛海岸的无市政管网</w:t>
            </w:r>
          </w:p>
          <w:p w14:paraId="4DB712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接入条件的工程项目，采用海水淡化系统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4DF1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0698E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201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69ADE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CC90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5.3.9单位工程单位建筑面积的用电量比定额节约10%以上</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24D93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633B0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A707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57540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06493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5.3.10单位工程单位建筑面积的用水量比定额节约10%以上</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271B0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275B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74F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FD5F4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6E7EA7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5.3.11施工现场利用太阳能或其他可再生能源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8AA1B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D9F4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33E3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72922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C3D3C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5.3.12建筑垃圾垂直运输时，采用重力势能装置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27A22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C5ED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A88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4B1F7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677EC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5.3.13无直接采光的施工通道和施工</w:t>
            </w:r>
          </w:p>
          <w:p w14:paraId="6716D4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区域照明采用声控、光控、延时等控制方式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80273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D06E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EBA6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00" w:type="dxa"/>
            <w:tcBorders>
              <w:right w:val="single" w:color="auto" w:sz="4" w:space="0"/>
            </w:tcBorders>
            <w:noWrap w:val="0"/>
            <w:vAlign w:val="center"/>
          </w:tcPr>
          <w:p w14:paraId="11B7A70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评价结果</w:t>
            </w:r>
          </w:p>
        </w:tc>
        <w:tc>
          <w:tcPr>
            <w:tcW w:w="9014" w:type="dxa"/>
            <w:gridSpan w:val="11"/>
            <w:tcBorders>
              <w:top w:val="single" w:color="auto" w:sz="4" w:space="0"/>
              <w:left w:val="single" w:color="auto" w:sz="4" w:space="0"/>
              <w:bottom w:val="single" w:color="auto" w:sz="4" w:space="0"/>
              <w:right w:val="single" w:color="auto" w:sz="4" w:space="0"/>
            </w:tcBorders>
            <w:noWrap w:val="0"/>
            <w:vAlign w:val="center"/>
          </w:tcPr>
          <w:p w14:paraId="39EEE8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要素评价得分F=A+</w:t>
            </w:r>
            <w:r>
              <w:rPr>
                <w:rFonts w:hint="eastAsia" w:ascii="仿宋_GB2312" w:hAnsi="仿宋_GB2312" w:eastAsia="仿宋_GB2312" w:cs="仿宋_GB2312"/>
                <w:color w:val="auto"/>
                <w:spacing w:val="-2"/>
                <w:sz w:val="28"/>
                <w:szCs w:val="28"/>
                <w:lang w:val="en-US" w:eastAsia="zh-CN"/>
              </w:rPr>
              <w:t>D</w:t>
            </w:r>
          </w:p>
          <w:p w14:paraId="54931F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其中：A为</w:t>
            </w:r>
            <w:r>
              <w:rPr>
                <w:rFonts w:hint="eastAsia" w:ascii="仿宋_GB2312" w:hAnsi="仿宋_GB2312" w:eastAsia="仿宋_GB2312" w:cs="仿宋_GB2312"/>
                <w:color w:val="auto"/>
                <w:spacing w:val="-2"/>
                <w:sz w:val="28"/>
                <w:szCs w:val="28"/>
              </w:rPr>
              <w:t>一般项得分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A=</w:t>
            </w:r>
            <w:r>
              <w:rPr>
                <w:rFonts w:hint="eastAsia" w:ascii="仿宋_GB2312" w:hAnsi="仿宋_GB2312" w:eastAsia="仿宋_GB2312" w:cs="仿宋_GB2312"/>
                <w:color w:val="auto"/>
                <w:spacing w:val="-2"/>
                <w:sz w:val="28"/>
                <w:szCs w:val="28"/>
                <w:highlight w:val="none"/>
              </w:rPr>
              <w:t>(B/C)</w:t>
            </w:r>
            <w:r>
              <w:rPr>
                <w:rFonts w:hint="eastAsia" w:ascii="仿宋_GB2312" w:hAnsi="仿宋_GB2312" w:eastAsia="仿宋_GB2312" w:cs="仿宋_GB2312"/>
                <w:color w:val="auto"/>
                <w:spacing w:val="-2"/>
                <w:sz w:val="28"/>
                <w:szCs w:val="28"/>
              </w:rPr>
              <w:t>×100</w:t>
            </w:r>
          </w:p>
          <w:p w14:paraId="6FCBFD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B:实际发生项实际得分之和</w:t>
            </w:r>
          </w:p>
          <w:p w14:paraId="3424EF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C实际发生项应得分项</w:t>
            </w:r>
          </w:p>
          <w:p w14:paraId="6F2733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D为优选项得分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优选项实际发生项目加分之和。</w:t>
            </w:r>
          </w:p>
          <w:p w14:paraId="5956D0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实际得分：</w:t>
            </w:r>
          </w:p>
        </w:tc>
      </w:tr>
      <w:tr w14:paraId="1060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73" w:type="dxa"/>
            <w:gridSpan w:val="2"/>
            <w:vMerge w:val="restart"/>
            <w:noWrap w:val="0"/>
            <w:vAlign w:val="center"/>
          </w:tcPr>
          <w:p w14:paraId="251ED5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4"/>
                <w:szCs w:val="24"/>
                <w:lang w:val="en-US" w:eastAsia="zh-CN" w:bidi="ar-SA"/>
              </w:rPr>
              <w:t>签字栏</w:t>
            </w:r>
          </w:p>
        </w:tc>
        <w:tc>
          <w:tcPr>
            <w:tcW w:w="2746" w:type="dxa"/>
            <w:gridSpan w:val="3"/>
            <w:noWrap w:val="0"/>
            <w:vAlign w:val="center"/>
          </w:tcPr>
          <w:p w14:paraId="5DFDB5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noWrap w:val="0"/>
            <w:vAlign w:val="center"/>
          </w:tcPr>
          <w:p w14:paraId="76831F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4"/>
            <w:noWrap w:val="0"/>
            <w:vAlign w:val="center"/>
          </w:tcPr>
          <w:p w14:paraId="6AA9A1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612B0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73" w:type="dxa"/>
            <w:gridSpan w:val="2"/>
            <w:vMerge w:val="continue"/>
            <w:noWrap w:val="0"/>
            <w:vAlign w:val="center"/>
          </w:tcPr>
          <w:p w14:paraId="07A641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c>
          <w:tcPr>
            <w:tcW w:w="1373" w:type="dxa"/>
            <w:gridSpan w:val="2"/>
            <w:noWrap w:val="0"/>
            <w:vAlign w:val="center"/>
          </w:tcPr>
          <w:p w14:paraId="665A25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noWrap w:val="0"/>
            <w:vAlign w:val="center"/>
          </w:tcPr>
          <w:p w14:paraId="1A2837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noWrap w:val="0"/>
            <w:vAlign w:val="center"/>
          </w:tcPr>
          <w:p w14:paraId="72002E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noWrap w:val="0"/>
            <w:vAlign w:val="center"/>
          </w:tcPr>
          <w:p w14:paraId="31D6947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gridSpan w:val="2"/>
            <w:noWrap w:val="0"/>
            <w:vAlign w:val="center"/>
          </w:tcPr>
          <w:p w14:paraId="6A88E2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noWrap w:val="0"/>
            <w:vAlign w:val="center"/>
          </w:tcPr>
          <w:p w14:paraId="23C515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2980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73" w:type="dxa"/>
            <w:gridSpan w:val="2"/>
            <w:vMerge w:val="continue"/>
            <w:noWrap w:val="0"/>
            <w:vAlign w:val="center"/>
          </w:tcPr>
          <w:p w14:paraId="659C9C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p>
        </w:tc>
        <w:tc>
          <w:tcPr>
            <w:tcW w:w="1373" w:type="dxa"/>
            <w:gridSpan w:val="2"/>
            <w:noWrap w:val="0"/>
            <w:vAlign w:val="center"/>
          </w:tcPr>
          <w:p w14:paraId="32B35B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34355A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3B9108B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749380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378CC4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6" w:type="dxa"/>
            <w:gridSpan w:val="2"/>
            <w:noWrap w:val="0"/>
            <w:vAlign w:val="center"/>
          </w:tcPr>
          <w:p w14:paraId="133866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r>
    </w:tbl>
    <w:p w14:paraId="1571D0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计分标准：</w:t>
      </w:r>
      <w:r>
        <w:rPr>
          <w:rFonts w:hint="eastAsia" w:ascii="仿宋_GB2312" w:hAnsi="仿宋_GB2312" w:eastAsia="仿宋_GB2312" w:cs="仿宋_GB2312"/>
          <w:color w:val="auto"/>
          <w:spacing w:val="-2"/>
          <w:sz w:val="28"/>
          <w:szCs w:val="28"/>
        </w:rPr>
        <w:t>每一子目应得分为2分，实得分则根据现场实际情况按0～2分选择：</w:t>
      </w:r>
    </w:p>
    <w:p w14:paraId="5B4913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①措施到位，满足考评指标要求，得分：2;</w:t>
      </w:r>
    </w:p>
    <w:p w14:paraId="500523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②措施到位，基本满足考评指标要求，得分：1;</w:t>
      </w:r>
    </w:p>
    <w:p w14:paraId="1B1FEB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③措施不到位，不满足考评指标要求，得分：0。</w:t>
      </w:r>
    </w:p>
    <w:p w14:paraId="55F7B3FD">
      <w:pPr>
        <w:ind w:firstLine="643" w:firstLineChars="200"/>
        <w:jc w:val="both"/>
        <w:rPr>
          <w:rFonts w:hint="eastAsia" w:ascii="华文中宋" w:hAnsi="华文中宋" w:eastAsia="华文中宋" w:cs="仿宋_GB2312"/>
          <w:b/>
          <w:bCs/>
          <w:color w:val="auto"/>
          <w:kern w:val="2"/>
          <w:sz w:val="32"/>
          <w:szCs w:val="32"/>
          <w:lang w:val="en-US" w:eastAsia="zh-CN" w:bidi="ar-SA"/>
        </w:rPr>
      </w:pPr>
    </w:p>
    <w:p w14:paraId="612582C8">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sz w:val="28"/>
          <w:szCs w:val="28"/>
          <w:lang w:val="en-US" w:eastAsia="zh-CN"/>
        </w:rPr>
        <w:br w:type="page"/>
      </w:r>
      <w:r>
        <w:rPr>
          <w:rFonts w:hint="eastAsia" w:ascii="方正小标宋简体" w:hAnsi="方正小标宋简体" w:eastAsia="方正小标宋简体" w:cs="方正小标宋简体"/>
          <w:b w:val="0"/>
          <w:bCs w:val="0"/>
          <w:color w:val="auto"/>
          <w:spacing w:val="-1"/>
          <w:sz w:val="32"/>
          <w:szCs w:val="32"/>
          <w:lang w:val="en-US" w:eastAsia="zh-CN"/>
        </w:rPr>
        <w:t>人力资源节约和保护要素评价汇总表（表2-4）</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137"/>
        <w:gridCol w:w="236"/>
        <w:gridCol w:w="634"/>
        <w:gridCol w:w="739"/>
        <w:gridCol w:w="311"/>
        <w:gridCol w:w="1065"/>
      </w:tblGrid>
      <w:tr w14:paraId="2961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rPr>
        <w:tc>
          <w:tcPr>
            <w:tcW w:w="1950" w:type="dxa"/>
            <w:gridSpan w:val="3"/>
            <w:tcBorders>
              <w:bottom w:val="nil"/>
            </w:tcBorders>
            <w:noWrap w:val="0"/>
            <w:vAlign w:val="center"/>
          </w:tcPr>
          <w:p w14:paraId="392D552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9"/>
            <w:tcBorders>
              <w:bottom w:val="nil"/>
            </w:tcBorders>
            <w:noWrap w:val="0"/>
            <w:vAlign w:val="center"/>
          </w:tcPr>
          <w:p w14:paraId="57B883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8557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3" w:hRule="atLeast"/>
        </w:trPr>
        <w:tc>
          <w:tcPr>
            <w:tcW w:w="1950" w:type="dxa"/>
            <w:gridSpan w:val="3"/>
            <w:tcBorders>
              <w:bottom w:val="nil"/>
            </w:tcBorders>
            <w:noWrap w:val="0"/>
            <w:vAlign w:val="center"/>
          </w:tcPr>
          <w:p w14:paraId="4145BE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9"/>
            <w:tcBorders>
              <w:bottom w:val="nil"/>
            </w:tcBorders>
            <w:noWrap w:val="0"/>
            <w:vAlign w:val="center"/>
          </w:tcPr>
          <w:p w14:paraId="658F1C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008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2" w:hRule="atLeast"/>
        </w:trPr>
        <w:tc>
          <w:tcPr>
            <w:tcW w:w="1950" w:type="dxa"/>
            <w:gridSpan w:val="3"/>
            <w:tcBorders>
              <w:bottom w:val="nil"/>
            </w:tcBorders>
            <w:noWrap w:val="0"/>
            <w:vAlign w:val="center"/>
          </w:tcPr>
          <w:p w14:paraId="174C93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9"/>
            <w:tcBorders>
              <w:bottom w:val="nil"/>
            </w:tcBorders>
            <w:noWrap w:val="0"/>
            <w:vAlign w:val="center"/>
          </w:tcPr>
          <w:p w14:paraId="196D35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D37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1950" w:type="dxa"/>
            <w:gridSpan w:val="3"/>
            <w:tcBorders>
              <w:bottom w:val="nil"/>
            </w:tcBorders>
            <w:noWrap w:val="0"/>
            <w:vAlign w:val="center"/>
          </w:tcPr>
          <w:p w14:paraId="495F35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0BA3DB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9"/>
            <w:tcBorders>
              <w:bottom w:val="nil"/>
            </w:tcBorders>
            <w:noWrap w:val="0"/>
            <w:vAlign w:val="center"/>
          </w:tcPr>
          <w:p w14:paraId="64A69C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927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7" w:hRule="atLeast"/>
        </w:trPr>
        <w:tc>
          <w:tcPr>
            <w:tcW w:w="1950" w:type="dxa"/>
            <w:gridSpan w:val="3"/>
            <w:tcBorders>
              <w:bottom w:val="nil"/>
            </w:tcBorders>
            <w:noWrap w:val="0"/>
            <w:vAlign w:val="center"/>
          </w:tcPr>
          <w:p w14:paraId="69820E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9"/>
            <w:tcBorders>
              <w:bottom w:val="nil"/>
            </w:tcBorders>
            <w:noWrap w:val="0"/>
            <w:vAlign w:val="center"/>
          </w:tcPr>
          <w:p w14:paraId="1BEA57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D65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600" w:type="dxa"/>
            <w:vMerge w:val="restart"/>
            <w:tcBorders>
              <w:bottom w:val="nil"/>
            </w:tcBorders>
            <w:noWrap w:val="0"/>
            <w:vAlign w:val="center"/>
          </w:tcPr>
          <w:p w14:paraId="47FEEA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控</w:t>
            </w:r>
          </w:p>
          <w:p w14:paraId="0A5585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制</w:t>
            </w:r>
          </w:p>
          <w:p w14:paraId="42971C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029" w:type="dxa"/>
            <w:gridSpan w:val="6"/>
            <w:noWrap w:val="0"/>
            <w:vAlign w:val="center"/>
          </w:tcPr>
          <w:p w14:paraId="2D0606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920" w:type="dxa"/>
            <w:gridSpan w:val="4"/>
            <w:noWrap w:val="0"/>
            <w:vAlign w:val="center"/>
          </w:tcPr>
          <w:p w14:paraId="522536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03D4E6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6483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1" w:hRule="atLeast"/>
        </w:trPr>
        <w:tc>
          <w:tcPr>
            <w:tcW w:w="600" w:type="dxa"/>
            <w:vMerge w:val="continue"/>
            <w:tcBorders>
              <w:top w:val="nil"/>
              <w:bottom w:val="nil"/>
            </w:tcBorders>
            <w:noWrap w:val="0"/>
            <w:vAlign w:val="top"/>
          </w:tcPr>
          <w:p w14:paraId="5C6A06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02ED462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6.1.1绿色施工策划文件中应包含人</w:t>
            </w:r>
          </w:p>
          <w:p w14:paraId="5F1C39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力资源节约和保护内容，并建立相关制度</w:t>
            </w:r>
          </w:p>
        </w:tc>
        <w:tc>
          <w:tcPr>
            <w:tcW w:w="1920" w:type="dxa"/>
            <w:gridSpan w:val="4"/>
            <w:vMerge w:val="restart"/>
            <w:noWrap w:val="0"/>
            <w:vAlign w:val="center"/>
          </w:tcPr>
          <w:p w14:paraId="230F18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措施到位，全部满足要求，进入“一般项”和“优选项”评分流程；否则，一票否决，为绿色施工不合格</w:t>
            </w:r>
            <w:r>
              <w:rPr>
                <w:rFonts w:hint="eastAsia" w:ascii="仿宋_GB2312" w:hAnsi="仿宋_GB2312" w:eastAsia="仿宋_GB2312" w:cs="仿宋_GB2312"/>
                <w:color w:val="auto"/>
                <w:spacing w:val="-2"/>
                <w:sz w:val="28"/>
                <w:szCs w:val="28"/>
                <w:lang w:eastAsia="zh-CN"/>
              </w:rPr>
              <w:t>。</w:t>
            </w:r>
          </w:p>
        </w:tc>
        <w:tc>
          <w:tcPr>
            <w:tcW w:w="1065" w:type="dxa"/>
            <w:noWrap w:val="0"/>
            <w:vAlign w:val="top"/>
          </w:tcPr>
          <w:p w14:paraId="34A32D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404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9" w:hRule="atLeast"/>
        </w:trPr>
        <w:tc>
          <w:tcPr>
            <w:tcW w:w="600" w:type="dxa"/>
            <w:vMerge w:val="continue"/>
            <w:tcBorders>
              <w:top w:val="nil"/>
              <w:bottom w:val="nil"/>
            </w:tcBorders>
            <w:noWrap w:val="0"/>
            <w:vAlign w:val="top"/>
          </w:tcPr>
          <w:p w14:paraId="141BF9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4F1887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6.1.2施工现场人员应实行实名制管理</w:t>
            </w:r>
          </w:p>
        </w:tc>
        <w:tc>
          <w:tcPr>
            <w:tcW w:w="1920" w:type="dxa"/>
            <w:gridSpan w:val="4"/>
            <w:vMerge w:val="continue"/>
            <w:noWrap w:val="0"/>
            <w:vAlign w:val="top"/>
          </w:tcPr>
          <w:p w14:paraId="10A3414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418068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80E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45" w:hRule="atLeast"/>
        </w:trPr>
        <w:tc>
          <w:tcPr>
            <w:tcW w:w="600" w:type="dxa"/>
            <w:vMerge w:val="continue"/>
            <w:tcBorders>
              <w:top w:val="nil"/>
            </w:tcBorders>
            <w:noWrap w:val="0"/>
            <w:vAlign w:val="top"/>
          </w:tcPr>
          <w:p w14:paraId="4E74B1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326D7F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6.1.3炊事员应持有效健康证明</w:t>
            </w:r>
          </w:p>
        </w:tc>
        <w:tc>
          <w:tcPr>
            <w:tcW w:w="1920" w:type="dxa"/>
            <w:gridSpan w:val="4"/>
            <w:vMerge w:val="continue"/>
            <w:noWrap w:val="0"/>
            <w:vAlign w:val="top"/>
          </w:tcPr>
          <w:p w14:paraId="1DD5F2CB">
            <w:pPr>
              <w:tabs>
                <w:tab w:val="left" w:pos="2020"/>
              </w:tabs>
              <w:bidi w:val="0"/>
              <w:jc w:val="left"/>
              <w:rPr>
                <w:rFonts w:hint="eastAsia" w:eastAsia="宋体"/>
                <w:color w:val="auto"/>
                <w:lang w:eastAsia="zh-CN"/>
              </w:rPr>
            </w:pPr>
          </w:p>
        </w:tc>
        <w:tc>
          <w:tcPr>
            <w:tcW w:w="1065" w:type="dxa"/>
            <w:noWrap w:val="0"/>
            <w:vAlign w:val="top"/>
          </w:tcPr>
          <w:p w14:paraId="2919F1C2">
            <w:pPr>
              <w:tabs>
                <w:tab w:val="left" w:pos="2020"/>
              </w:tabs>
              <w:bidi w:val="0"/>
              <w:jc w:val="left"/>
              <w:rPr>
                <w:rFonts w:hint="eastAsia"/>
                <w:color w:val="auto"/>
                <w:lang w:eastAsia="zh-CN"/>
              </w:rPr>
            </w:pPr>
          </w:p>
        </w:tc>
      </w:tr>
      <w:tr w14:paraId="641E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600" w:type="dxa"/>
            <w:vMerge w:val="continue"/>
            <w:tcBorders>
              <w:top w:val="nil"/>
            </w:tcBorders>
            <w:noWrap w:val="0"/>
            <w:vAlign w:val="top"/>
          </w:tcPr>
          <w:p w14:paraId="355D9E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22AC30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6.1.4施工现场人员应按规定要求持证上岗</w:t>
            </w:r>
          </w:p>
        </w:tc>
        <w:tc>
          <w:tcPr>
            <w:tcW w:w="1920" w:type="dxa"/>
            <w:gridSpan w:val="4"/>
            <w:vMerge w:val="continue"/>
            <w:noWrap w:val="0"/>
            <w:vAlign w:val="top"/>
          </w:tcPr>
          <w:p w14:paraId="3F9958FB">
            <w:pPr>
              <w:tabs>
                <w:tab w:val="left" w:pos="2020"/>
              </w:tabs>
              <w:bidi w:val="0"/>
              <w:jc w:val="left"/>
              <w:rPr>
                <w:rFonts w:hint="eastAsia" w:eastAsia="宋体"/>
                <w:color w:val="auto"/>
                <w:lang w:eastAsia="zh-CN"/>
              </w:rPr>
            </w:pPr>
          </w:p>
        </w:tc>
        <w:tc>
          <w:tcPr>
            <w:tcW w:w="1065" w:type="dxa"/>
            <w:noWrap w:val="0"/>
            <w:vAlign w:val="top"/>
          </w:tcPr>
          <w:p w14:paraId="711C7FA3">
            <w:pPr>
              <w:tabs>
                <w:tab w:val="left" w:pos="2020"/>
              </w:tabs>
              <w:bidi w:val="0"/>
              <w:jc w:val="left"/>
              <w:rPr>
                <w:rFonts w:hint="eastAsia"/>
                <w:color w:val="auto"/>
                <w:lang w:eastAsia="zh-CN"/>
              </w:rPr>
            </w:pPr>
          </w:p>
        </w:tc>
      </w:tr>
      <w:tr w14:paraId="3482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9" w:hRule="atLeast"/>
        </w:trPr>
        <w:tc>
          <w:tcPr>
            <w:tcW w:w="600" w:type="dxa"/>
            <w:vMerge w:val="continue"/>
            <w:tcBorders>
              <w:top w:val="nil"/>
            </w:tcBorders>
            <w:noWrap w:val="0"/>
            <w:vAlign w:val="top"/>
          </w:tcPr>
          <w:p w14:paraId="02943C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523F7B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6.1.5施工现场应按规定配备消防、防疫、医务、安全、健康等设施和用品</w:t>
            </w:r>
          </w:p>
        </w:tc>
        <w:tc>
          <w:tcPr>
            <w:tcW w:w="1920" w:type="dxa"/>
            <w:gridSpan w:val="4"/>
            <w:vMerge w:val="continue"/>
            <w:noWrap w:val="0"/>
            <w:vAlign w:val="top"/>
          </w:tcPr>
          <w:p w14:paraId="1374556F">
            <w:pPr>
              <w:tabs>
                <w:tab w:val="left" w:pos="2020"/>
              </w:tabs>
              <w:bidi w:val="0"/>
              <w:jc w:val="left"/>
              <w:rPr>
                <w:rFonts w:hint="eastAsia" w:eastAsia="宋体"/>
                <w:color w:val="auto"/>
                <w:lang w:eastAsia="zh-CN"/>
              </w:rPr>
            </w:pPr>
          </w:p>
        </w:tc>
        <w:tc>
          <w:tcPr>
            <w:tcW w:w="1065" w:type="dxa"/>
            <w:noWrap w:val="0"/>
            <w:vAlign w:val="top"/>
          </w:tcPr>
          <w:p w14:paraId="0C06DE3E">
            <w:pPr>
              <w:tabs>
                <w:tab w:val="left" w:pos="2020"/>
              </w:tabs>
              <w:bidi w:val="0"/>
              <w:jc w:val="left"/>
              <w:rPr>
                <w:rFonts w:hint="eastAsia"/>
                <w:color w:val="auto"/>
                <w:lang w:eastAsia="zh-CN"/>
              </w:rPr>
            </w:pPr>
          </w:p>
        </w:tc>
      </w:tr>
      <w:tr w14:paraId="1D53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600" w:type="dxa"/>
            <w:noWrap w:val="0"/>
            <w:vAlign w:val="center"/>
          </w:tcPr>
          <w:p w14:paraId="2BA3E3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bottom w:val="single" w:color="auto" w:sz="4" w:space="0"/>
            </w:tcBorders>
            <w:noWrap w:val="0"/>
            <w:vAlign w:val="center"/>
          </w:tcPr>
          <w:p w14:paraId="505A48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标准条款及要求</w:t>
            </w:r>
          </w:p>
        </w:tc>
        <w:tc>
          <w:tcPr>
            <w:tcW w:w="1050" w:type="dxa"/>
            <w:gridSpan w:val="2"/>
            <w:tcBorders>
              <w:bottom w:val="single" w:color="auto" w:sz="4" w:space="0"/>
            </w:tcBorders>
            <w:noWrap w:val="0"/>
            <w:vAlign w:val="center"/>
          </w:tcPr>
          <w:p w14:paraId="3212DB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应得分</w:t>
            </w:r>
          </w:p>
        </w:tc>
        <w:tc>
          <w:tcPr>
            <w:tcW w:w="1065" w:type="dxa"/>
            <w:tcBorders>
              <w:bottom w:val="single" w:color="auto" w:sz="4" w:space="0"/>
            </w:tcBorders>
            <w:noWrap w:val="0"/>
            <w:vAlign w:val="center"/>
          </w:tcPr>
          <w:p w14:paraId="566175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val="en-US" w:eastAsia="zh-CN"/>
              </w:rPr>
              <w:t>实得分</w:t>
            </w:r>
          </w:p>
        </w:tc>
      </w:tr>
      <w:tr w14:paraId="755C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02B8D2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一</w:t>
            </w:r>
          </w:p>
          <w:p w14:paraId="355D59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般</w:t>
            </w:r>
          </w:p>
          <w:p w14:paraId="6676EE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A3EA0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6.2.1人员健康保障应包括下列内容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56910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4359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272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0CB25E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6FC40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制定职业病预防措施，定期对高原地区施工人员、从事有职业病危害作业的人员进行体检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95C37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3001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1CB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2" w:hRule="atLeast"/>
        </w:trPr>
        <w:tc>
          <w:tcPr>
            <w:tcW w:w="600" w:type="dxa"/>
            <w:vMerge w:val="continue"/>
            <w:noWrap w:val="0"/>
            <w:vAlign w:val="top"/>
          </w:tcPr>
          <w:p w14:paraId="0055FF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4E940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生活区、办公区、生产区有专人负责环境卫生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1D5855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3E85F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136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55BAC9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F0466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生活区、办公区设置可回收与不可回收垃圾桶，餐厨垃圾单独回收处理，并定期清运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ECEAB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EFF6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C1D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2" w:hRule="atLeast"/>
        </w:trPr>
        <w:tc>
          <w:tcPr>
            <w:tcW w:w="600" w:type="dxa"/>
            <w:vMerge w:val="continue"/>
            <w:noWrap w:val="0"/>
            <w:vAlign w:val="top"/>
          </w:tcPr>
          <w:p w14:paraId="1B2389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EACA6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生活区中的垃圾堆放区域定期消毒</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585EA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B9105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F69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101664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A0279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施工作业区、生活区和办公区分开布置，生活设施远离有毒有害物质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8278E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BDCE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C00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50F6FF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5B84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现场有应急疏散、逃生标志、应急照明</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E9D7C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05F0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B81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1F072C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78B425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6EE835A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3C29D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现场有防暑防寒设施，并设专人负责</w:t>
            </w:r>
          </w:p>
        </w:tc>
        <w:tc>
          <w:tcPr>
            <w:tcW w:w="1050" w:type="dxa"/>
            <w:gridSpan w:val="2"/>
            <w:vMerge w:val="restart"/>
            <w:tcBorders>
              <w:top w:val="single" w:color="auto" w:sz="4" w:space="0"/>
              <w:left w:val="single" w:color="auto" w:sz="4" w:space="0"/>
              <w:right w:val="single" w:color="auto" w:sz="4" w:space="0"/>
            </w:tcBorders>
            <w:noWrap w:val="0"/>
            <w:vAlign w:val="center"/>
          </w:tcPr>
          <w:p w14:paraId="3D523D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vMerge w:val="restart"/>
            <w:tcBorders>
              <w:top w:val="single" w:color="auto" w:sz="4" w:space="0"/>
              <w:left w:val="single" w:color="auto" w:sz="4" w:space="0"/>
              <w:right w:val="single" w:color="auto" w:sz="4" w:space="0"/>
            </w:tcBorders>
            <w:noWrap w:val="0"/>
            <w:vAlign w:val="center"/>
          </w:tcPr>
          <w:p w14:paraId="108963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576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 w:hRule="atLeast"/>
        </w:trPr>
        <w:tc>
          <w:tcPr>
            <w:tcW w:w="600" w:type="dxa"/>
            <w:vMerge w:val="continue"/>
            <w:noWrap w:val="0"/>
            <w:vAlign w:val="top"/>
          </w:tcPr>
          <w:p w14:paraId="45715D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color w:val="auto"/>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C03CD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现场设置医务室，有人员健康应急预案</w:t>
            </w:r>
          </w:p>
        </w:tc>
        <w:tc>
          <w:tcPr>
            <w:tcW w:w="1050" w:type="dxa"/>
            <w:gridSpan w:val="2"/>
            <w:vMerge w:val="continue"/>
            <w:tcBorders>
              <w:left w:val="single" w:color="auto" w:sz="4" w:space="0"/>
              <w:right w:val="single" w:color="auto" w:sz="4" w:space="0"/>
            </w:tcBorders>
            <w:noWrap w:val="0"/>
            <w:vAlign w:val="center"/>
          </w:tcPr>
          <w:p w14:paraId="1E3D04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c>
          <w:tcPr>
            <w:tcW w:w="1065" w:type="dxa"/>
            <w:vMerge w:val="continue"/>
            <w:tcBorders>
              <w:left w:val="single" w:color="auto" w:sz="4" w:space="0"/>
              <w:right w:val="single" w:color="auto" w:sz="4" w:space="0"/>
            </w:tcBorders>
            <w:noWrap w:val="0"/>
            <w:vAlign w:val="center"/>
          </w:tcPr>
          <w:p w14:paraId="3DC077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r>
      <w:tr w14:paraId="6045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C29BA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F30DA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生活区设置满足施工人员使用的盥洗设施</w:t>
            </w:r>
          </w:p>
        </w:tc>
        <w:tc>
          <w:tcPr>
            <w:tcW w:w="1050" w:type="dxa"/>
            <w:gridSpan w:val="2"/>
            <w:vMerge w:val="continue"/>
            <w:tcBorders>
              <w:left w:val="single" w:color="auto" w:sz="4" w:space="0"/>
              <w:bottom w:val="single" w:color="auto" w:sz="4" w:space="0"/>
              <w:right w:val="single" w:color="auto" w:sz="4" w:space="0"/>
            </w:tcBorders>
            <w:noWrap w:val="0"/>
            <w:vAlign w:val="center"/>
          </w:tcPr>
          <w:p w14:paraId="3A7C66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c>
          <w:tcPr>
            <w:tcW w:w="1065" w:type="dxa"/>
            <w:vMerge w:val="continue"/>
            <w:tcBorders>
              <w:left w:val="single" w:color="auto" w:sz="4" w:space="0"/>
              <w:bottom w:val="single" w:color="auto" w:sz="4" w:space="0"/>
              <w:right w:val="single" w:color="auto" w:sz="4" w:space="0"/>
            </w:tcBorders>
            <w:noWrap w:val="0"/>
            <w:vAlign w:val="center"/>
          </w:tcPr>
          <w:p w14:paraId="4B20ED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r>
      <w:tr w14:paraId="3733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4CC98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24CFD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现场宿舍人均使用面积不得小于2.5m²,并设置可开启式外窗</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6D722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6FE32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DEB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14C820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B558F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制定食堂管理制度，建立熟食留样台账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4DBCF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42D6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642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42C62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6EBAF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特殊环境条件下施工，有防止高温、高湿、高盐、沙尘暴等恶劣气候条件及野生动植物伤害的措施和应急预案</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39A6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CBA9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3CB5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D694E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2996F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工人宿舍设置消防报警、防火等安全装置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DDD8B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895E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E85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trPr>
        <w:tc>
          <w:tcPr>
            <w:tcW w:w="600" w:type="dxa"/>
            <w:vMerge w:val="continue"/>
            <w:noWrap w:val="0"/>
            <w:vAlign w:val="top"/>
          </w:tcPr>
          <w:p w14:paraId="478EF5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92CA8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6.2.2劳动力保护应包括下列内容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D3947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536C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D9CB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4BB16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C36445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建立合理的休息、休假、加班及女职工特殊保护等管理制度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A874E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6E6A92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DF2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8770E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982D8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减少夜间、雨天、严寒和高温天作业时间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696E5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BA6B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6C6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82854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EB7C0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施工现场危险地段、设备、有毒有害物品存放处等设置醒目的安全标识，并配备相应的应急设施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9E481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6FBA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AB1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BD9F3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961C5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在有毒、有害、有刺激性气味、强光和强噪声环境施工的人员，佩戴相应的防护器具和劳动保护用品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8EB52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9B93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3E1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09822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84116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在深井、密闭环境、防水和室内装修施工时，设置通风设施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FE91E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A0B0E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1B3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18F4F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3B360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在水上作业时穿着救生衣</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1DBC7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6159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9FD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F6FC1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0879F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施工现场人车分流，并有隔离措施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A69F6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795B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ABB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12973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EC584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模板脱模剂、涂料等采用水性材料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72337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6CA4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B44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E9EFC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6D2DD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6.2.3劳务节约应包括下列内容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6709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1D34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7BC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84EBE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2B1AF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优化绿色施工组织设计和绿色施工方案，合理安排工序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B5D84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E069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400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A8673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E20B7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因地制宜制订各施工阶段劳动力劳务使用计划，合理投入施工作业人员</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C28FB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F6CF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7457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10B36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ACCAB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建立施工人员培训计划和培训实施台账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AC2B5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6392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0FC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C6C9B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21C28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建立劳务使用台账，统计分析施工现场劳务使用情况</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BAE9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6541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AAB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4E041D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4F805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使用高效施工机具和设备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0B55A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3E9D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24D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restart"/>
            <w:tcBorders>
              <w:right w:val="single" w:color="auto" w:sz="4" w:space="0"/>
            </w:tcBorders>
            <w:noWrap w:val="0"/>
            <w:vAlign w:val="center"/>
          </w:tcPr>
          <w:p w14:paraId="75A34F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147F5C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020596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8B17E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6.3.1钢结构采用现场免焊接技术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4D431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9AFF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E53D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298D85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4C59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6.3.2采用机械喷涂、抹灰等自动化施工设备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57D7CB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26CC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AEF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7ADB25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4B2D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6.3.3结构构件采用装配化安装</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72229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C010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5A6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5CCF89F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D16B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6.3.4管道设备采用模块化安装</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5BFA7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16667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07A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center"/>
          </w:tcPr>
          <w:p w14:paraId="761459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DF993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6.3.5建筑部件采用整体化安装</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3770B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DCF5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76A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38364C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508F1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6.3.6设置心理疏导室、活动室、阅览室等</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492F5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4348B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314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2A6EFC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93D75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6.3.7配备文体人娱乐设施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C353AA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F8428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B36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88" w:hRule="atLeast"/>
        </w:trPr>
        <w:tc>
          <w:tcPr>
            <w:tcW w:w="600" w:type="dxa"/>
            <w:tcBorders>
              <w:right w:val="single" w:color="auto" w:sz="4" w:space="0"/>
            </w:tcBorders>
            <w:noWrap w:val="0"/>
            <w:vAlign w:val="center"/>
          </w:tcPr>
          <w:p w14:paraId="210D49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评价结果</w:t>
            </w:r>
          </w:p>
        </w:tc>
        <w:tc>
          <w:tcPr>
            <w:tcW w:w="9014" w:type="dxa"/>
            <w:gridSpan w:val="11"/>
            <w:tcBorders>
              <w:top w:val="single" w:color="auto" w:sz="4" w:space="0"/>
              <w:left w:val="single" w:color="auto" w:sz="4" w:space="0"/>
              <w:bottom w:val="single" w:color="auto" w:sz="4" w:space="0"/>
              <w:right w:val="single" w:color="auto" w:sz="4" w:space="0"/>
            </w:tcBorders>
            <w:noWrap w:val="0"/>
            <w:vAlign w:val="center"/>
          </w:tcPr>
          <w:p w14:paraId="198324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要素评价得分F=A+</w:t>
            </w:r>
            <w:r>
              <w:rPr>
                <w:rFonts w:hint="eastAsia" w:ascii="仿宋_GB2312" w:hAnsi="仿宋_GB2312" w:eastAsia="仿宋_GB2312" w:cs="仿宋_GB2312"/>
                <w:color w:val="auto"/>
                <w:spacing w:val="-2"/>
                <w:sz w:val="28"/>
                <w:szCs w:val="28"/>
                <w:lang w:val="en-US" w:eastAsia="zh-CN"/>
              </w:rPr>
              <w:t>D</w:t>
            </w:r>
          </w:p>
          <w:p w14:paraId="62BE0F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其中：A为</w:t>
            </w:r>
            <w:r>
              <w:rPr>
                <w:rFonts w:hint="eastAsia" w:ascii="仿宋_GB2312" w:hAnsi="仿宋_GB2312" w:eastAsia="仿宋_GB2312" w:cs="仿宋_GB2312"/>
                <w:color w:val="auto"/>
                <w:spacing w:val="-2"/>
                <w:sz w:val="28"/>
                <w:szCs w:val="28"/>
              </w:rPr>
              <w:t>一般项得分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A=</w:t>
            </w:r>
            <w:r>
              <w:rPr>
                <w:rFonts w:hint="eastAsia" w:ascii="仿宋_GB2312" w:hAnsi="仿宋_GB2312" w:eastAsia="仿宋_GB2312" w:cs="仿宋_GB2312"/>
                <w:color w:val="auto"/>
                <w:spacing w:val="-2"/>
                <w:sz w:val="28"/>
                <w:szCs w:val="28"/>
                <w:highlight w:val="none"/>
              </w:rPr>
              <w:t>(B/C)</w:t>
            </w:r>
            <w:r>
              <w:rPr>
                <w:rFonts w:hint="eastAsia" w:ascii="仿宋_GB2312" w:hAnsi="仿宋_GB2312" w:eastAsia="仿宋_GB2312" w:cs="仿宋_GB2312"/>
                <w:color w:val="auto"/>
                <w:spacing w:val="-2"/>
                <w:sz w:val="28"/>
                <w:szCs w:val="28"/>
              </w:rPr>
              <w:t>×100</w:t>
            </w:r>
          </w:p>
          <w:p w14:paraId="580A50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B:实际发生项实际得分之和</w:t>
            </w:r>
          </w:p>
          <w:p w14:paraId="6960EF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C实际发生项应得分项</w:t>
            </w:r>
          </w:p>
          <w:p w14:paraId="07AF6D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D为优选项得分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优选项实际发生项目加分之和。</w:t>
            </w:r>
          </w:p>
          <w:p w14:paraId="409C59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实际得分：</w:t>
            </w:r>
          </w:p>
        </w:tc>
      </w:tr>
      <w:tr w14:paraId="21F7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trPr>
        <w:tc>
          <w:tcPr>
            <w:tcW w:w="1373" w:type="dxa"/>
            <w:gridSpan w:val="2"/>
            <w:vMerge w:val="restart"/>
            <w:noWrap w:val="0"/>
            <w:vAlign w:val="center"/>
          </w:tcPr>
          <w:p w14:paraId="346CE6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4"/>
                <w:szCs w:val="24"/>
                <w:lang w:val="en-US" w:eastAsia="zh-CN" w:bidi="ar-SA"/>
              </w:rPr>
              <w:t>签字栏</w:t>
            </w:r>
          </w:p>
        </w:tc>
        <w:tc>
          <w:tcPr>
            <w:tcW w:w="2746" w:type="dxa"/>
            <w:gridSpan w:val="3"/>
            <w:noWrap w:val="0"/>
            <w:vAlign w:val="center"/>
          </w:tcPr>
          <w:p w14:paraId="318A58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noWrap w:val="0"/>
            <w:vAlign w:val="center"/>
          </w:tcPr>
          <w:p w14:paraId="4415422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4"/>
            <w:noWrap w:val="0"/>
            <w:vAlign w:val="center"/>
          </w:tcPr>
          <w:p w14:paraId="5DF7F3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6BD6F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trPr>
        <w:tc>
          <w:tcPr>
            <w:tcW w:w="1373" w:type="dxa"/>
            <w:gridSpan w:val="2"/>
            <w:vMerge w:val="continue"/>
            <w:noWrap w:val="0"/>
            <w:vAlign w:val="center"/>
          </w:tcPr>
          <w:p w14:paraId="3629B2F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c>
          <w:tcPr>
            <w:tcW w:w="1373" w:type="dxa"/>
            <w:gridSpan w:val="2"/>
            <w:noWrap w:val="0"/>
            <w:vAlign w:val="center"/>
          </w:tcPr>
          <w:p w14:paraId="251C0F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noWrap w:val="0"/>
            <w:vAlign w:val="center"/>
          </w:tcPr>
          <w:p w14:paraId="4EEE25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noWrap w:val="0"/>
            <w:vAlign w:val="center"/>
          </w:tcPr>
          <w:p w14:paraId="603A82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noWrap w:val="0"/>
            <w:vAlign w:val="center"/>
          </w:tcPr>
          <w:p w14:paraId="4514C1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gridSpan w:val="2"/>
            <w:noWrap w:val="0"/>
            <w:vAlign w:val="center"/>
          </w:tcPr>
          <w:p w14:paraId="4483FF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noWrap w:val="0"/>
            <w:vAlign w:val="center"/>
          </w:tcPr>
          <w:p w14:paraId="0D0BDA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711B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1373" w:type="dxa"/>
            <w:gridSpan w:val="2"/>
            <w:vMerge w:val="continue"/>
            <w:noWrap w:val="0"/>
            <w:vAlign w:val="center"/>
          </w:tcPr>
          <w:p w14:paraId="3F4630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p>
        </w:tc>
        <w:tc>
          <w:tcPr>
            <w:tcW w:w="1373" w:type="dxa"/>
            <w:gridSpan w:val="2"/>
            <w:noWrap w:val="0"/>
            <w:vAlign w:val="center"/>
          </w:tcPr>
          <w:p w14:paraId="11C2C8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72B8A9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34BD86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495E883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395237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6" w:type="dxa"/>
            <w:gridSpan w:val="2"/>
            <w:noWrap w:val="0"/>
            <w:vAlign w:val="center"/>
          </w:tcPr>
          <w:p w14:paraId="133B3C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r>
    </w:tbl>
    <w:p w14:paraId="75C122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计分标准：</w:t>
      </w:r>
      <w:r>
        <w:rPr>
          <w:rFonts w:hint="eastAsia" w:ascii="仿宋_GB2312" w:hAnsi="仿宋_GB2312" w:eastAsia="仿宋_GB2312" w:cs="仿宋_GB2312"/>
          <w:color w:val="auto"/>
          <w:spacing w:val="-2"/>
          <w:sz w:val="28"/>
          <w:szCs w:val="28"/>
        </w:rPr>
        <w:t>每一子目应得分为2分，实得分则根据现场实际情况按0～2分选择：</w:t>
      </w:r>
    </w:p>
    <w:p w14:paraId="70C09A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①措施到位，满足考评指标要求，得分：2;</w:t>
      </w:r>
    </w:p>
    <w:p w14:paraId="566836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②措施到位，基本满足考评指标要求，得分：1;</w:t>
      </w:r>
    </w:p>
    <w:p w14:paraId="169CE5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③措施不到位，不满足考评指标要求，得分：0</w:t>
      </w:r>
    </w:p>
    <w:p w14:paraId="71AD10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华文中宋" w:hAnsi="华文中宋" w:eastAsia="华文中宋" w:cs="仿宋_GB2312"/>
          <w:color w:val="auto"/>
          <w:kern w:val="2"/>
          <w:sz w:val="32"/>
          <w:szCs w:val="32"/>
          <w:lang w:val="en-US" w:eastAsia="zh-CN" w:bidi="ar-SA"/>
        </w:rPr>
      </w:pPr>
    </w:p>
    <w:p w14:paraId="76C17F44">
      <w:pPr>
        <w:rPr>
          <w:rFonts w:hint="eastAsia" w:ascii="华文中宋" w:hAnsi="华文中宋" w:eastAsia="华文中宋" w:cs="仿宋_GB2312"/>
          <w:color w:val="auto"/>
          <w:sz w:val="28"/>
          <w:szCs w:val="28"/>
          <w:lang w:val="en-US" w:eastAsia="zh-CN"/>
        </w:rPr>
      </w:pPr>
    </w:p>
    <w:p w14:paraId="7C61070A">
      <w:pPr>
        <w:rPr>
          <w:rFonts w:hint="eastAsia" w:ascii="华文中宋" w:hAnsi="华文中宋" w:eastAsia="华文中宋" w:cs="仿宋_GB2312"/>
          <w:color w:val="auto"/>
          <w:sz w:val="28"/>
          <w:szCs w:val="28"/>
          <w:lang w:val="en-US" w:eastAsia="zh-CN"/>
        </w:rPr>
      </w:pPr>
    </w:p>
    <w:p w14:paraId="56EFCFAC">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sz w:val="28"/>
          <w:szCs w:val="28"/>
          <w:lang w:val="en-US" w:eastAsia="zh-CN"/>
        </w:rPr>
        <w:br w:type="page"/>
      </w:r>
      <w:r>
        <w:rPr>
          <w:rFonts w:hint="eastAsia" w:ascii="方正小标宋简体" w:hAnsi="方正小标宋简体" w:eastAsia="方正小标宋简体" w:cs="方正小标宋简体"/>
          <w:b w:val="0"/>
          <w:bCs w:val="0"/>
          <w:color w:val="auto"/>
          <w:spacing w:val="-1"/>
          <w:sz w:val="32"/>
          <w:szCs w:val="32"/>
          <w:lang w:val="en-US" w:eastAsia="zh-CN"/>
        </w:rPr>
        <w:t>阶段评价汇总表（表2-5）</w:t>
      </w:r>
    </w:p>
    <w:tbl>
      <w:tblPr>
        <w:tblStyle w:val="7"/>
        <w:tblW w:w="9119"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1185"/>
        <w:gridCol w:w="1186"/>
        <w:gridCol w:w="1185"/>
        <w:gridCol w:w="1186"/>
        <w:gridCol w:w="374"/>
        <w:gridCol w:w="811"/>
        <w:gridCol w:w="1484"/>
      </w:tblGrid>
      <w:tr w14:paraId="7708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708" w:type="dxa"/>
            <w:noWrap w:val="0"/>
            <w:vAlign w:val="center"/>
          </w:tcPr>
          <w:p w14:paraId="46C7E3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工程名称</w:t>
            </w:r>
          </w:p>
        </w:tc>
        <w:tc>
          <w:tcPr>
            <w:tcW w:w="7411" w:type="dxa"/>
            <w:gridSpan w:val="7"/>
            <w:noWrap w:val="0"/>
            <w:vAlign w:val="top"/>
          </w:tcPr>
          <w:p w14:paraId="1B3E592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48E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7565B6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施工单位</w:t>
            </w:r>
          </w:p>
        </w:tc>
        <w:tc>
          <w:tcPr>
            <w:tcW w:w="7411" w:type="dxa"/>
            <w:gridSpan w:val="7"/>
            <w:noWrap w:val="0"/>
            <w:vAlign w:val="top"/>
          </w:tcPr>
          <w:p w14:paraId="3FE348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A86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08" w:type="dxa"/>
            <w:noWrap w:val="0"/>
            <w:vAlign w:val="center"/>
          </w:tcPr>
          <w:p w14:paraId="4638D0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工程所在地</w:t>
            </w:r>
          </w:p>
        </w:tc>
        <w:tc>
          <w:tcPr>
            <w:tcW w:w="7411" w:type="dxa"/>
            <w:gridSpan w:val="7"/>
            <w:noWrap w:val="0"/>
            <w:vAlign w:val="top"/>
          </w:tcPr>
          <w:p w14:paraId="229188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874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08" w:type="dxa"/>
            <w:noWrap w:val="0"/>
            <w:vAlign w:val="center"/>
          </w:tcPr>
          <w:p w14:paraId="37E53E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0EE611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(批次/阶段)</w:t>
            </w:r>
          </w:p>
        </w:tc>
        <w:tc>
          <w:tcPr>
            <w:tcW w:w="3556" w:type="dxa"/>
            <w:gridSpan w:val="3"/>
            <w:noWrap w:val="0"/>
            <w:vAlign w:val="center"/>
          </w:tcPr>
          <w:p w14:paraId="047EA2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55AFD2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施工阶段</w:t>
            </w:r>
          </w:p>
        </w:tc>
        <w:tc>
          <w:tcPr>
            <w:tcW w:w="2295" w:type="dxa"/>
            <w:gridSpan w:val="2"/>
            <w:noWrap w:val="0"/>
            <w:vAlign w:val="top"/>
          </w:tcPr>
          <w:p w14:paraId="185115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28AD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102E97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工程类别</w:t>
            </w:r>
          </w:p>
        </w:tc>
        <w:tc>
          <w:tcPr>
            <w:tcW w:w="3556" w:type="dxa"/>
            <w:gridSpan w:val="3"/>
            <w:noWrap w:val="0"/>
            <w:vAlign w:val="center"/>
          </w:tcPr>
          <w:p w14:paraId="256ED4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建筑□市政□</w:t>
            </w:r>
            <w:r>
              <w:rPr>
                <w:rFonts w:hint="eastAsia" w:ascii="仿宋_GB2312" w:hAnsi="仿宋_GB2312" w:eastAsia="仿宋_GB2312" w:cs="仿宋_GB2312"/>
                <w:color w:val="auto"/>
                <w:spacing w:val="-2"/>
                <w:sz w:val="28"/>
                <w:szCs w:val="28"/>
                <w:lang w:eastAsia="zh-CN"/>
              </w:rPr>
              <w:t>其他</w:t>
            </w:r>
            <w:r>
              <w:rPr>
                <w:rFonts w:hint="eastAsia" w:ascii="仿宋_GB2312" w:hAnsi="仿宋_GB2312" w:eastAsia="仿宋_GB2312" w:cs="仿宋_GB2312"/>
                <w:color w:val="auto"/>
                <w:spacing w:val="-2"/>
                <w:sz w:val="28"/>
                <w:szCs w:val="28"/>
              </w:rPr>
              <w:t>□</w:t>
            </w:r>
          </w:p>
        </w:tc>
        <w:tc>
          <w:tcPr>
            <w:tcW w:w="1560" w:type="dxa"/>
            <w:gridSpan w:val="2"/>
            <w:noWrap w:val="0"/>
            <w:vAlign w:val="center"/>
          </w:tcPr>
          <w:p w14:paraId="503355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eastAsia="zh-CN"/>
              </w:rPr>
              <w:t>评价时间</w:t>
            </w:r>
          </w:p>
        </w:tc>
        <w:tc>
          <w:tcPr>
            <w:tcW w:w="2295" w:type="dxa"/>
            <w:gridSpan w:val="2"/>
            <w:noWrap w:val="0"/>
            <w:vAlign w:val="top"/>
          </w:tcPr>
          <w:p w14:paraId="552F72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0A44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600263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评价批次</w:t>
            </w:r>
          </w:p>
        </w:tc>
        <w:tc>
          <w:tcPr>
            <w:tcW w:w="3556" w:type="dxa"/>
            <w:gridSpan w:val="3"/>
            <w:noWrap w:val="0"/>
            <w:vAlign w:val="center"/>
          </w:tcPr>
          <w:p w14:paraId="6460BB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批次得分</w:t>
            </w:r>
          </w:p>
        </w:tc>
        <w:tc>
          <w:tcPr>
            <w:tcW w:w="1560" w:type="dxa"/>
            <w:gridSpan w:val="2"/>
            <w:noWrap w:val="0"/>
            <w:vAlign w:val="center"/>
          </w:tcPr>
          <w:p w14:paraId="572B0C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评价批次</w:t>
            </w:r>
          </w:p>
        </w:tc>
        <w:tc>
          <w:tcPr>
            <w:tcW w:w="2295" w:type="dxa"/>
            <w:gridSpan w:val="2"/>
            <w:noWrap w:val="0"/>
            <w:vAlign w:val="center"/>
          </w:tcPr>
          <w:p w14:paraId="66519D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批次得分</w:t>
            </w:r>
          </w:p>
        </w:tc>
      </w:tr>
      <w:tr w14:paraId="05CD1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404D91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p>
        </w:tc>
        <w:tc>
          <w:tcPr>
            <w:tcW w:w="3556" w:type="dxa"/>
            <w:gridSpan w:val="3"/>
            <w:noWrap w:val="0"/>
            <w:vAlign w:val="center"/>
          </w:tcPr>
          <w:p w14:paraId="507458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52AA8C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p>
        </w:tc>
        <w:tc>
          <w:tcPr>
            <w:tcW w:w="2295" w:type="dxa"/>
            <w:gridSpan w:val="2"/>
            <w:noWrap w:val="0"/>
            <w:vAlign w:val="center"/>
          </w:tcPr>
          <w:p w14:paraId="55D77B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30F0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7B8A52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p>
        </w:tc>
        <w:tc>
          <w:tcPr>
            <w:tcW w:w="3556" w:type="dxa"/>
            <w:gridSpan w:val="3"/>
            <w:noWrap w:val="0"/>
            <w:vAlign w:val="center"/>
          </w:tcPr>
          <w:p w14:paraId="6EEB33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036B81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p>
        </w:tc>
        <w:tc>
          <w:tcPr>
            <w:tcW w:w="2295" w:type="dxa"/>
            <w:gridSpan w:val="2"/>
            <w:noWrap w:val="0"/>
            <w:vAlign w:val="center"/>
          </w:tcPr>
          <w:p w14:paraId="65A9FD3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6E52C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187016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p>
        </w:tc>
        <w:tc>
          <w:tcPr>
            <w:tcW w:w="3556" w:type="dxa"/>
            <w:gridSpan w:val="3"/>
            <w:noWrap w:val="0"/>
            <w:vAlign w:val="center"/>
          </w:tcPr>
          <w:p w14:paraId="1DFEE9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1D1A17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p>
        </w:tc>
        <w:tc>
          <w:tcPr>
            <w:tcW w:w="2295" w:type="dxa"/>
            <w:gridSpan w:val="2"/>
            <w:noWrap w:val="0"/>
            <w:vAlign w:val="center"/>
          </w:tcPr>
          <w:p w14:paraId="7A1625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03D9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7DD344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p>
        </w:tc>
        <w:tc>
          <w:tcPr>
            <w:tcW w:w="3556" w:type="dxa"/>
            <w:gridSpan w:val="3"/>
            <w:noWrap w:val="0"/>
            <w:vAlign w:val="center"/>
          </w:tcPr>
          <w:p w14:paraId="29AFB9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023B2E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p>
        </w:tc>
        <w:tc>
          <w:tcPr>
            <w:tcW w:w="2295" w:type="dxa"/>
            <w:gridSpan w:val="2"/>
            <w:noWrap w:val="0"/>
            <w:vAlign w:val="center"/>
          </w:tcPr>
          <w:p w14:paraId="6AA829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017D0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69B7DD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p>
        </w:tc>
        <w:tc>
          <w:tcPr>
            <w:tcW w:w="3556" w:type="dxa"/>
            <w:gridSpan w:val="3"/>
            <w:noWrap w:val="0"/>
            <w:vAlign w:val="center"/>
          </w:tcPr>
          <w:p w14:paraId="6B84EF5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5B4F58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10</w:t>
            </w:r>
          </w:p>
        </w:tc>
        <w:tc>
          <w:tcPr>
            <w:tcW w:w="2295" w:type="dxa"/>
            <w:gridSpan w:val="2"/>
            <w:noWrap w:val="0"/>
            <w:vAlign w:val="center"/>
          </w:tcPr>
          <w:p w14:paraId="4DFAF1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31378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5" w:hRule="atLeast"/>
        </w:trPr>
        <w:tc>
          <w:tcPr>
            <w:tcW w:w="1708" w:type="dxa"/>
            <w:noWrap w:val="0"/>
            <w:vAlign w:val="center"/>
          </w:tcPr>
          <w:p w14:paraId="2EF05D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阶段评价</w:t>
            </w:r>
          </w:p>
          <w:p w14:paraId="0A7839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结论</w:t>
            </w:r>
          </w:p>
        </w:tc>
        <w:tc>
          <w:tcPr>
            <w:tcW w:w="7411" w:type="dxa"/>
            <w:gridSpan w:val="7"/>
            <w:noWrap w:val="0"/>
            <w:vAlign w:val="top"/>
          </w:tcPr>
          <w:p w14:paraId="20AAAF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阶段评价得分</w:t>
            </w:r>
            <w:r>
              <w:rPr>
                <w:rFonts w:hint="eastAsia" w:ascii="仿宋_GB2312" w:hAnsi="仿宋_GB2312" w:eastAsia="仿宋_GB2312" w:cs="仿宋_GB2312"/>
                <w:color w:val="auto"/>
                <w:spacing w:val="-2"/>
                <w:sz w:val="28"/>
                <w:szCs w:val="28"/>
              </w:rPr>
              <w:object>
                <v:shape id="_x0000_i1028" o:spt="75" type="#_x0000_t75" style="height:40.55pt;width:79.3pt;" o:ole="t" filled="f" o:preferrelative="t" stroked="f" coordsize="21600,21600">
                  <v:path/>
                  <v:fill on="f" focussize="0,0"/>
                  <v:stroke on="f"/>
                  <v:imagedata r:id="rId11" o:title=""/>
                  <o:lock v:ext="edit" aspectratio="t"/>
                  <w10:wrap type="none"/>
                  <w10:anchorlock/>
                </v:shape>
                <o:OLEObject Type="Embed" ProgID="Equation.DSMT4" ShapeID="_x0000_i1028" DrawAspect="Content" ObjectID="_1468075728" r:id="rId10">
                  <o:LockedField>false</o:LockedField>
                </o:OLEObject>
              </w:object>
            </w:r>
          </w:p>
          <w:p w14:paraId="7A57FC4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式中：G—阶段评价得分；</w:t>
            </w:r>
          </w:p>
          <w:p w14:paraId="28BEFD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E—各批次评价得分；</w:t>
            </w:r>
          </w:p>
          <w:p w14:paraId="1E23A74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N—批次评价次数；</w:t>
            </w:r>
          </w:p>
          <w:p w14:paraId="7E189C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40" w:firstLineChars="300"/>
              <w:jc w:val="both"/>
              <w:textAlignment w:val="baseline"/>
              <w:rPr>
                <w:rFonts w:hint="eastAsia" w:ascii="仿宋_GB2312" w:hAnsi="仿宋_GB2312" w:eastAsia="仿宋_GB2312" w:cs="仿宋_GB2312"/>
                <w:color w:val="auto"/>
                <w:spacing w:val="-2"/>
                <w:sz w:val="28"/>
                <w:szCs w:val="28"/>
              </w:rPr>
            </w:pPr>
            <w:r>
              <w:rPr>
                <w:color w:val="auto"/>
                <w:sz w:val="28"/>
                <w:szCs w:val="28"/>
              </w:rPr>
              <w:t>G</w:t>
            </w:r>
            <w:r>
              <w:rPr>
                <w:color w:val="auto"/>
                <w:sz w:val="28"/>
                <w:szCs w:val="28"/>
                <w:vertAlign w:val="subscript"/>
              </w:rPr>
              <w:t>2</w:t>
            </w:r>
            <w:r>
              <w:rPr>
                <w:rFonts w:hint="eastAsia" w:ascii="仿宋_GB2312" w:hAnsi="仿宋_GB2312" w:eastAsia="仿宋_GB2312" w:cs="仿宋_GB2312"/>
                <w:color w:val="auto"/>
                <w:spacing w:val="-2"/>
                <w:sz w:val="28"/>
                <w:szCs w:val="28"/>
              </w:rPr>
              <w:t>—阶段创新得分。</w:t>
            </w:r>
          </w:p>
        </w:tc>
      </w:tr>
      <w:tr w14:paraId="0209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8" w:type="dxa"/>
            <w:vMerge w:val="restart"/>
            <w:noWrap w:val="0"/>
            <w:vAlign w:val="center"/>
          </w:tcPr>
          <w:p w14:paraId="6D4750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8"/>
                <w:szCs w:val="28"/>
                <w:lang w:val="en-US" w:eastAsia="zh-CN" w:bidi="ar-SA"/>
              </w:rPr>
              <w:t>签字栏</w:t>
            </w:r>
          </w:p>
        </w:tc>
        <w:tc>
          <w:tcPr>
            <w:tcW w:w="2371" w:type="dxa"/>
            <w:gridSpan w:val="2"/>
            <w:noWrap w:val="0"/>
            <w:vAlign w:val="center"/>
          </w:tcPr>
          <w:p w14:paraId="099907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371" w:type="dxa"/>
            <w:gridSpan w:val="2"/>
            <w:noWrap w:val="0"/>
            <w:vAlign w:val="center"/>
          </w:tcPr>
          <w:p w14:paraId="7A53D0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69" w:type="dxa"/>
            <w:gridSpan w:val="3"/>
            <w:noWrap w:val="0"/>
            <w:vAlign w:val="center"/>
          </w:tcPr>
          <w:p w14:paraId="13774B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4C2F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08" w:type="dxa"/>
            <w:vMerge w:val="continue"/>
            <w:noWrap w:val="0"/>
            <w:vAlign w:val="top"/>
          </w:tcPr>
          <w:p w14:paraId="3CABA2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center"/>
          </w:tcPr>
          <w:p w14:paraId="05A829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noWrap w:val="0"/>
            <w:vAlign w:val="center"/>
          </w:tcPr>
          <w:p w14:paraId="653496A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noWrap w:val="0"/>
            <w:vAlign w:val="center"/>
          </w:tcPr>
          <w:p w14:paraId="4ADF2BB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noWrap w:val="0"/>
            <w:vAlign w:val="center"/>
          </w:tcPr>
          <w:p w14:paraId="0E917D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gridSpan w:val="2"/>
            <w:noWrap w:val="0"/>
            <w:vAlign w:val="center"/>
          </w:tcPr>
          <w:p w14:paraId="680AC3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484" w:type="dxa"/>
            <w:noWrap w:val="0"/>
            <w:vAlign w:val="center"/>
          </w:tcPr>
          <w:p w14:paraId="400F8D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0631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708" w:type="dxa"/>
            <w:vMerge w:val="continue"/>
            <w:noWrap w:val="0"/>
            <w:vAlign w:val="top"/>
          </w:tcPr>
          <w:p w14:paraId="518313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4714AC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noWrap w:val="0"/>
            <w:vAlign w:val="top"/>
          </w:tcPr>
          <w:p w14:paraId="214A64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287652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noWrap w:val="0"/>
            <w:vAlign w:val="top"/>
          </w:tcPr>
          <w:p w14:paraId="67F3B7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gridSpan w:val="2"/>
            <w:noWrap w:val="0"/>
            <w:vAlign w:val="top"/>
          </w:tcPr>
          <w:p w14:paraId="0FEA6F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84" w:type="dxa"/>
            <w:noWrap w:val="0"/>
            <w:vAlign w:val="top"/>
          </w:tcPr>
          <w:p w14:paraId="40FF7D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bl>
    <w:p w14:paraId="7B15F2D3">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技术创新评价表（表2-6）</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355"/>
        <w:gridCol w:w="18"/>
        <w:gridCol w:w="1373"/>
        <w:gridCol w:w="311"/>
        <w:gridCol w:w="1065"/>
      </w:tblGrid>
      <w:tr w14:paraId="23AF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7" w:hRule="atLeast"/>
        </w:trPr>
        <w:tc>
          <w:tcPr>
            <w:tcW w:w="1950" w:type="dxa"/>
            <w:gridSpan w:val="3"/>
            <w:tcBorders>
              <w:bottom w:val="nil"/>
            </w:tcBorders>
            <w:noWrap w:val="0"/>
            <w:vAlign w:val="center"/>
          </w:tcPr>
          <w:p w14:paraId="7383C1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8"/>
            <w:tcBorders>
              <w:bottom w:val="nil"/>
            </w:tcBorders>
            <w:noWrap w:val="0"/>
            <w:vAlign w:val="center"/>
          </w:tcPr>
          <w:p w14:paraId="4E4811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E1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3" w:hRule="atLeast"/>
        </w:trPr>
        <w:tc>
          <w:tcPr>
            <w:tcW w:w="1950" w:type="dxa"/>
            <w:gridSpan w:val="3"/>
            <w:tcBorders>
              <w:bottom w:val="nil"/>
            </w:tcBorders>
            <w:noWrap w:val="0"/>
            <w:vAlign w:val="center"/>
          </w:tcPr>
          <w:p w14:paraId="4B0834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8"/>
            <w:tcBorders>
              <w:bottom w:val="nil"/>
            </w:tcBorders>
            <w:noWrap w:val="0"/>
            <w:vAlign w:val="center"/>
          </w:tcPr>
          <w:p w14:paraId="04EC1A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6B7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7" w:hRule="atLeast"/>
        </w:trPr>
        <w:tc>
          <w:tcPr>
            <w:tcW w:w="1950" w:type="dxa"/>
            <w:gridSpan w:val="3"/>
            <w:tcBorders>
              <w:bottom w:val="nil"/>
            </w:tcBorders>
            <w:noWrap w:val="0"/>
            <w:vAlign w:val="center"/>
          </w:tcPr>
          <w:p w14:paraId="11A57E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8"/>
            <w:tcBorders>
              <w:bottom w:val="nil"/>
            </w:tcBorders>
            <w:noWrap w:val="0"/>
            <w:vAlign w:val="center"/>
          </w:tcPr>
          <w:p w14:paraId="7825F7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A05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50" w:type="dxa"/>
            <w:gridSpan w:val="3"/>
            <w:tcBorders>
              <w:bottom w:val="nil"/>
            </w:tcBorders>
            <w:noWrap w:val="0"/>
            <w:vAlign w:val="center"/>
          </w:tcPr>
          <w:p w14:paraId="7AD0B4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554E76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8"/>
            <w:tcBorders>
              <w:bottom w:val="nil"/>
            </w:tcBorders>
            <w:noWrap w:val="0"/>
            <w:vAlign w:val="center"/>
          </w:tcPr>
          <w:p w14:paraId="2ADEF1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9ED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50" w:type="dxa"/>
            <w:gridSpan w:val="3"/>
            <w:tcBorders>
              <w:bottom w:val="nil"/>
            </w:tcBorders>
            <w:noWrap w:val="0"/>
            <w:vAlign w:val="center"/>
          </w:tcPr>
          <w:p w14:paraId="653353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8"/>
            <w:tcBorders>
              <w:bottom w:val="nil"/>
            </w:tcBorders>
            <w:noWrap w:val="0"/>
            <w:vAlign w:val="center"/>
          </w:tcPr>
          <w:p w14:paraId="55EBBE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8B0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restart"/>
            <w:noWrap w:val="0"/>
            <w:vAlign w:val="center"/>
          </w:tcPr>
          <w:p w14:paraId="65FCE7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val="en-US" w:eastAsia="zh-CN"/>
              </w:rPr>
              <w:t>加分项</w:t>
            </w:r>
          </w:p>
        </w:tc>
        <w:tc>
          <w:tcPr>
            <w:tcW w:w="6247" w:type="dxa"/>
            <w:gridSpan w:val="6"/>
            <w:noWrap w:val="0"/>
            <w:vAlign w:val="center"/>
          </w:tcPr>
          <w:p w14:paraId="3E8A35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702" w:type="dxa"/>
            <w:gridSpan w:val="3"/>
            <w:noWrap w:val="0"/>
            <w:vAlign w:val="center"/>
          </w:tcPr>
          <w:p w14:paraId="658C0C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054A63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70FC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15161B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0569C4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b/>
                <w:bCs/>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7.0.2技术创新评价指标应包括下列内容</w:t>
            </w:r>
          </w:p>
        </w:tc>
        <w:tc>
          <w:tcPr>
            <w:tcW w:w="1702" w:type="dxa"/>
            <w:gridSpan w:val="3"/>
            <w:vMerge w:val="restart"/>
            <w:noWrap w:val="0"/>
            <w:vAlign w:val="center"/>
          </w:tcPr>
          <w:p w14:paraId="3A862D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阶段创新得分G₂可根据阶段实施结果单项加0.5分～1分，总分最高加5分</w:t>
            </w:r>
          </w:p>
        </w:tc>
        <w:tc>
          <w:tcPr>
            <w:tcW w:w="1065" w:type="dxa"/>
            <w:noWrap w:val="0"/>
            <w:vAlign w:val="top"/>
          </w:tcPr>
          <w:p w14:paraId="5D341B4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B75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0320AF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73C2CB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装配式施工技术</w:t>
            </w:r>
          </w:p>
        </w:tc>
        <w:tc>
          <w:tcPr>
            <w:tcW w:w="1702" w:type="dxa"/>
            <w:gridSpan w:val="3"/>
            <w:vMerge w:val="continue"/>
            <w:noWrap w:val="0"/>
            <w:vAlign w:val="top"/>
          </w:tcPr>
          <w:p w14:paraId="28FC39D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2D0DC6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8B4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29826B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10F7D7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信息化施工技术</w:t>
            </w:r>
          </w:p>
        </w:tc>
        <w:tc>
          <w:tcPr>
            <w:tcW w:w="1702" w:type="dxa"/>
            <w:gridSpan w:val="3"/>
            <w:vMerge w:val="continue"/>
            <w:noWrap w:val="0"/>
            <w:vAlign w:val="top"/>
          </w:tcPr>
          <w:p w14:paraId="37CD1A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571C29E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0CC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07DDB9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513CFF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基坑与地下工程施工的资源保护和创新技术</w:t>
            </w:r>
          </w:p>
        </w:tc>
        <w:tc>
          <w:tcPr>
            <w:tcW w:w="1702" w:type="dxa"/>
            <w:gridSpan w:val="3"/>
            <w:vMerge w:val="continue"/>
            <w:noWrap w:val="0"/>
            <w:vAlign w:val="top"/>
          </w:tcPr>
          <w:p w14:paraId="316D5B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29D2FA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5E7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04E8A7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01807F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建材与施工机具和设备绿色性能评价及选用技术</w:t>
            </w:r>
          </w:p>
        </w:tc>
        <w:tc>
          <w:tcPr>
            <w:tcW w:w="1702" w:type="dxa"/>
            <w:gridSpan w:val="3"/>
            <w:vMerge w:val="continue"/>
            <w:noWrap w:val="0"/>
            <w:vAlign w:val="top"/>
          </w:tcPr>
          <w:p w14:paraId="16F413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46A163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E7A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6F465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76C266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钢结构、预应力结构和新型结构施工技术</w:t>
            </w:r>
          </w:p>
        </w:tc>
        <w:tc>
          <w:tcPr>
            <w:tcW w:w="1702" w:type="dxa"/>
            <w:gridSpan w:val="3"/>
            <w:vMerge w:val="continue"/>
            <w:noWrap w:val="0"/>
            <w:vAlign w:val="top"/>
          </w:tcPr>
          <w:p w14:paraId="73C9A7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5EA17A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2F7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361A82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71CFCB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高性能混凝土应用技术</w:t>
            </w:r>
          </w:p>
        </w:tc>
        <w:tc>
          <w:tcPr>
            <w:tcW w:w="1702" w:type="dxa"/>
            <w:gridSpan w:val="3"/>
            <w:vMerge w:val="continue"/>
            <w:noWrap w:val="0"/>
            <w:vAlign w:val="top"/>
          </w:tcPr>
          <w:p w14:paraId="531C85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3CE5C8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93B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75AB9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434EC1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高强度、耐候钢材应用技术</w:t>
            </w:r>
          </w:p>
        </w:tc>
        <w:tc>
          <w:tcPr>
            <w:tcW w:w="1702" w:type="dxa"/>
            <w:gridSpan w:val="3"/>
            <w:vMerge w:val="continue"/>
            <w:noWrap w:val="0"/>
            <w:vAlign w:val="top"/>
          </w:tcPr>
          <w:p w14:paraId="26D1CA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23BB0D8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31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59A020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219054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新型模架开发与应用技术</w:t>
            </w:r>
          </w:p>
        </w:tc>
        <w:tc>
          <w:tcPr>
            <w:tcW w:w="1702" w:type="dxa"/>
            <w:gridSpan w:val="3"/>
            <w:vMerge w:val="continue"/>
            <w:noWrap w:val="0"/>
            <w:vAlign w:val="top"/>
          </w:tcPr>
          <w:p w14:paraId="3561892A">
            <w:pPr>
              <w:tabs>
                <w:tab w:val="left" w:pos="2020"/>
              </w:tabs>
              <w:bidi w:val="0"/>
              <w:jc w:val="left"/>
              <w:rPr>
                <w:rFonts w:hint="eastAsia" w:eastAsia="宋体"/>
                <w:color w:val="auto"/>
                <w:lang w:eastAsia="zh-CN"/>
              </w:rPr>
            </w:pPr>
          </w:p>
        </w:tc>
        <w:tc>
          <w:tcPr>
            <w:tcW w:w="1065" w:type="dxa"/>
            <w:noWrap w:val="0"/>
            <w:vAlign w:val="top"/>
          </w:tcPr>
          <w:p w14:paraId="020F6E8A">
            <w:pPr>
              <w:tabs>
                <w:tab w:val="left" w:pos="2020"/>
              </w:tabs>
              <w:bidi w:val="0"/>
              <w:jc w:val="left"/>
              <w:rPr>
                <w:rFonts w:hint="eastAsia"/>
                <w:color w:val="auto"/>
                <w:lang w:eastAsia="zh-CN"/>
              </w:rPr>
            </w:pPr>
          </w:p>
        </w:tc>
      </w:tr>
      <w:tr w14:paraId="681D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6FAC8D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62BF4D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建筑垃圾减排及回收再利用技术</w:t>
            </w:r>
          </w:p>
        </w:tc>
        <w:tc>
          <w:tcPr>
            <w:tcW w:w="1702" w:type="dxa"/>
            <w:gridSpan w:val="3"/>
            <w:vMerge w:val="continue"/>
            <w:noWrap w:val="0"/>
            <w:vAlign w:val="top"/>
          </w:tcPr>
          <w:p w14:paraId="1F3D38B6">
            <w:pPr>
              <w:tabs>
                <w:tab w:val="left" w:pos="2020"/>
              </w:tabs>
              <w:bidi w:val="0"/>
              <w:jc w:val="left"/>
              <w:rPr>
                <w:rFonts w:hint="eastAsia" w:eastAsia="宋体"/>
                <w:color w:val="auto"/>
                <w:lang w:eastAsia="zh-CN"/>
              </w:rPr>
            </w:pPr>
          </w:p>
        </w:tc>
        <w:tc>
          <w:tcPr>
            <w:tcW w:w="1065" w:type="dxa"/>
            <w:noWrap w:val="0"/>
            <w:vAlign w:val="top"/>
          </w:tcPr>
          <w:p w14:paraId="7D86F49C">
            <w:pPr>
              <w:tabs>
                <w:tab w:val="left" w:pos="2020"/>
              </w:tabs>
              <w:bidi w:val="0"/>
              <w:jc w:val="left"/>
              <w:rPr>
                <w:rFonts w:hint="eastAsia"/>
                <w:color w:val="auto"/>
                <w:lang w:eastAsia="zh-CN"/>
              </w:rPr>
            </w:pPr>
          </w:p>
        </w:tc>
      </w:tr>
      <w:tr w14:paraId="4D91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0098C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243D3F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其他先进施工技术</w:t>
            </w:r>
          </w:p>
        </w:tc>
        <w:tc>
          <w:tcPr>
            <w:tcW w:w="1702" w:type="dxa"/>
            <w:gridSpan w:val="3"/>
            <w:vMerge w:val="continue"/>
            <w:noWrap w:val="0"/>
            <w:vAlign w:val="top"/>
          </w:tcPr>
          <w:p w14:paraId="43F28E2E">
            <w:pPr>
              <w:tabs>
                <w:tab w:val="left" w:pos="2020"/>
              </w:tabs>
              <w:bidi w:val="0"/>
              <w:jc w:val="left"/>
              <w:rPr>
                <w:rFonts w:hint="eastAsia" w:eastAsia="宋体"/>
                <w:color w:val="auto"/>
                <w:lang w:eastAsia="zh-CN"/>
              </w:rPr>
            </w:pPr>
          </w:p>
        </w:tc>
        <w:tc>
          <w:tcPr>
            <w:tcW w:w="1065" w:type="dxa"/>
            <w:noWrap w:val="0"/>
            <w:vAlign w:val="top"/>
          </w:tcPr>
          <w:p w14:paraId="5B7EC3A2">
            <w:pPr>
              <w:tabs>
                <w:tab w:val="left" w:pos="2020"/>
              </w:tabs>
              <w:bidi w:val="0"/>
              <w:jc w:val="left"/>
              <w:rPr>
                <w:rFonts w:hint="eastAsia"/>
                <w:color w:val="auto"/>
                <w:lang w:eastAsia="zh-CN"/>
              </w:rPr>
            </w:pPr>
          </w:p>
        </w:tc>
      </w:tr>
      <w:tr w14:paraId="10A7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4D52B1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加分依据</w:t>
            </w:r>
          </w:p>
        </w:tc>
        <w:tc>
          <w:tcPr>
            <w:tcW w:w="6247" w:type="dxa"/>
            <w:gridSpan w:val="6"/>
            <w:noWrap w:val="0"/>
            <w:vAlign w:val="center"/>
          </w:tcPr>
          <w:p w14:paraId="779629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7.0.1绿色施工开展技术创新活动</w:t>
            </w:r>
          </w:p>
        </w:tc>
        <w:tc>
          <w:tcPr>
            <w:tcW w:w="1702" w:type="dxa"/>
            <w:gridSpan w:val="3"/>
            <w:vMerge w:val="restart"/>
            <w:noWrap w:val="0"/>
            <w:vAlign w:val="center"/>
          </w:tcPr>
          <w:p w14:paraId="3C30F61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kern w:val="2"/>
                <w:sz w:val="28"/>
                <w:szCs w:val="28"/>
                <w:lang w:val="en-US" w:eastAsia="en-US" w:bidi="ar-SA"/>
              </w:rPr>
              <w:t>阶段</w:t>
            </w:r>
            <w:r>
              <w:rPr>
                <w:rFonts w:hint="eastAsia" w:ascii="仿宋_GB2312" w:hAnsi="仿宋_GB2312" w:eastAsia="仿宋_GB2312" w:cs="仿宋_GB2312"/>
                <w:color w:val="auto"/>
                <w:spacing w:val="-2"/>
                <w:sz w:val="28"/>
                <w:szCs w:val="28"/>
                <w:lang w:val="en-US" w:eastAsia="en-US"/>
              </w:rPr>
              <w:t>创新</w:t>
            </w:r>
          </w:p>
          <w:p w14:paraId="2E2CD4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lang w:val="en-US" w:eastAsia="en-US"/>
              </w:rPr>
              <w:t>得</w:t>
            </w:r>
            <w:r>
              <w:rPr>
                <w:rFonts w:hint="eastAsia" w:ascii="仿宋_GB2312" w:hAnsi="仿宋_GB2312" w:eastAsia="仿宋_GB2312" w:cs="仿宋_GB2312"/>
                <w:color w:val="auto"/>
                <w:spacing w:val="-2"/>
                <w:kern w:val="2"/>
                <w:sz w:val="28"/>
                <w:szCs w:val="28"/>
                <w:lang w:val="en-US" w:eastAsia="en-US" w:bidi="ar-SA"/>
              </w:rPr>
              <w:t>分</w:t>
            </w:r>
            <w:r>
              <w:rPr>
                <w:color w:val="auto"/>
                <w:sz w:val="28"/>
                <w:szCs w:val="36"/>
              </w:rPr>
              <w:t>G</w:t>
            </w:r>
            <w:r>
              <w:rPr>
                <w:color w:val="auto"/>
                <w:sz w:val="28"/>
                <w:szCs w:val="36"/>
                <w:vertAlign w:val="subscript"/>
              </w:rPr>
              <w:t>2</w:t>
            </w:r>
          </w:p>
        </w:tc>
        <w:tc>
          <w:tcPr>
            <w:tcW w:w="1065" w:type="dxa"/>
            <w:noWrap w:val="0"/>
            <w:vAlign w:val="top"/>
          </w:tcPr>
          <w:p w14:paraId="6868F168">
            <w:pPr>
              <w:tabs>
                <w:tab w:val="left" w:pos="2020"/>
              </w:tabs>
              <w:bidi w:val="0"/>
              <w:jc w:val="left"/>
              <w:rPr>
                <w:rFonts w:hint="eastAsia"/>
                <w:color w:val="auto"/>
                <w:lang w:eastAsia="zh-CN"/>
              </w:rPr>
            </w:pPr>
          </w:p>
        </w:tc>
      </w:tr>
      <w:tr w14:paraId="5B0E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3EEFEB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3C7F82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7.0.3技术创新有专业技术先进性和综合价值的评审资料</w:t>
            </w:r>
          </w:p>
        </w:tc>
        <w:tc>
          <w:tcPr>
            <w:tcW w:w="1702" w:type="dxa"/>
            <w:gridSpan w:val="3"/>
            <w:vMerge w:val="continue"/>
            <w:noWrap w:val="0"/>
            <w:vAlign w:val="top"/>
          </w:tcPr>
          <w:p w14:paraId="638FF199">
            <w:pPr>
              <w:tabs>
                <w:tab w:val="left" w:pos="2020"/>
              </w:tabs>
              <w:bidi w:val="0"/>
              <w:jc w:val="left"/>
              <w:rPr>
                <w:rFonts w:hint="eastAsia" w:eastAsia="宋体"/>
                <w:color w:val="auto"/>
                <w:lang w:eastAsia="zh-CN"/>
              </w:rPr>
            </w:pPr>
          </w:p>
        </w:tc>
        <w:tc>
          <w:tcPr>
            <w:tcW w:w="1065" w:type="dxa"/>
            <w:noWrap w:val="0"/>
            <w:vAlign w:val="top"/>
          </w:tcPr>
          <w:p w14:paraId="2FD7DFE2">
            <w:pPr>
              <w:tabs>
                <w:tab w:val="left" w:pos="2020"/>
              </w:tabs>
              <w:bidi w:val="0"/>
              <w:jc w:val="left"/>
              <w:rPr>
                <w:rFonts w:hint="eastAsia"/>
                <w:color w:val="auto"/>
                <w:lang w:eastAsia="zh-CN"/>
              </w:rPr>
            </w:pPr>
          </w:p>
        </w:tc>
      </w:tr>
      <w:tr w14:paraId="38EE0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373" w:type="dxa"/>
            <w:gridSpan w:val="2"/>
            <w:vMerge w:val="restart"/>
            <w:tcBorders>
              <w:right w:val="single" w:color="auto" w:sz="4" w:space="0"/>
            </w:tcBorders>
            <w:noWrap w:val="0"/>
            <w:vAlign w:val="center"/>
          </w:tcPr>
          <w:p w14:paraId="211CC7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签字栏</w:t>
            </w:r>
          </w:p>
        </w:tc>
        <w:tc>
          <w:tcPr>
            <w:tcW w:w="2746" w:type="dxa"/>
            <w:gridSpan w:val="3"/>
            <w:tcBorders>
              <w:right w:val="single" w:color="auto" w:sz="4" w:space="0"/>
            </w:tcBorders>
            <w:noWrap w:val="0"/>
            <w:vAlign w:val="center"/>
          </w:tcPr>
          <w:p w14:paraId="611E7D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tcBorders>
              <w:right w:val="single" w:color="auto" w:sz="4" w:space="0"/>
            </w:tcBorders>
            <w:noWrap w:val="0"/>
            <w:vAlign w:val="center"/>
          </w:tcPr>
          <w:p w14:paraId="65BD42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3"/>
            <w:tcBorders>
              <w:right w:val="single" w:color="auto" w:sz="4" w:space="0"/>
            </w:tcBorders>
            <w:noWrap w:val="0"/>
            <w:vAlign w:val="center"/>
          </w:tcPr>
          <w:p w14:paraId="26ACDF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41E6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373" w:type="dxa"/>
            <w:gridSpan w:val="2"/>
            <w:vMerge w:val="continue"/>
            <w:tcBorders>
              <w:right w:val="single" w:color="auto" w:sz="4" w:space="0"/>
            </w:tcBorders>
            <w:noWrap w:val="0"/>
            <w:vAlign w:val="center"/>
          </w:tcPr>
          <w:p w14:paraId="0FE8F1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p>
        </w:tc>
        <w:tc>
          <w:tcPr>
            <w:tcW w:w="1373" w:type="dxa"/>
            <w:gridSpan w:val="2"/>
            <w:tcBorders>
              <w:right w:val="single" w:color="auto" w:sz="4" w:space="0"/>
            </w:tcBorders>
            <w:noWrap w:val="0"/>
            <w:vAlign w:val="center"/>
          </w:tcPr>
          <w:p w14:paraId="235DD8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tcBorders>
              <w:right w:val="single" w:color="auto" w:sz="4" w:space="0"/>
            </w:tcBorders>
            <w:noWrap w:val="0"/>
            <w:vAlign w:val="center"/>
          </w:tcPr>
          <w:p w14:paraId="1D2D39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tcBorders>
              <w:right w:val="single" w:color="auto" w:sz="4" w:space="0"/>
            </w:tcBorders>
            <w:noWrap w:val="0"/>
            <w:vAlign w:val="center"/>
          </w:tcPr>
          <w:p w14:paraId="72C61F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tcBorders>
              <w:right w:val="single" w:color="auto" w:sz="4" w:space="0"/>
            </w:tcBorders>
            <w:noWrap w:val="0"/>
            <w:vAlign w:val="center"/>
          </w:tcPr>
          <w:p w14:paraId="36E1C3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tcBorders>
              <w:right w:val="single" w:color="auto" w:sz="4" w:space="0"/>
            </w:tcBorders>
            <w:noWrap w:val="0"/>
            <w:vAlign w:val="center"/>
          </w:tcPr>
          <w:p w14:paraId="42B1C3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tcBorders>
              <w:right w:val="single" w:color="auto" w:sz="4" w:space="0"/>
            </w:tcBorders>
            <w:noWrap w:val="0"/>
            <w:vAlign w:val="center"/>
          </w:tcPr>
          <w:p w14:paraId="1E8E46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097C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2" w:hRule="atLeast"/>
        </w:trPr>
        <w:tc>
          <w:tcPr>
            <w:tcW w:w="1373" w:type="dxa"/>
            <w:gridSpan w:val="2"/>
            <w:vMerge w:val="continue"/>
            <w:tcBorders>
              <w:right w:val="single" w:color="auto" w:sz="4" w:space="0"/>
            </w:tcBorders>
            <w:noWrap w:val="0"/>
            <w:vAlign w:val="center"/>
          </w:tcPr>
          <w:p w14:paraId="59218D3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p>
        </w:tc>
        <w:tc>
          <w:tcPr>
            <w:tcW w:w="1373" w:type="dxa"/>
            <w:gridSpan w:val="2"/>
            <w:tcBorders>
              <w:right w:val="single" w:color="auto" w:sz="4" w:space="0"/>
            </w:tcBorders>
            <w:noWrap w:val="0"/>
            <w:vAlign w:val="center"/>
          </w:tcPr>
          <w:p w14:paraId="4B78EC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tcBorders>
              <w:right w:val="single" w:color="auto" w:sz="4" w:space="0"/>
            </w:tcBorders>
            <w:noWrap w:val="0"/>
            <w:vAlign w:val="center"/>
          </w:tcPr>
          <w:p w14:paraId="6FF5D5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tcBorders>
              <w:right w:val="single" w:color="auto" w:sz="4" w:space="0"/>
            </w:tcBorders>
            <w:noWrap w:val="0"/>
            <w:vAlign w:val="center"/>
          </w:tcPr>
          <w:p w14:paraId="6ACE74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gridSpan w:val="2"/>
            <w:tcBorders>
              <w:right w:val="single" w:color="auto" w:sz="4" w:space="0"/>
            </w:tcBorders>
            <w:noWrap w:val="0"/>
            <w:vAlign w:val="center"/>
          </w:tcPr>
          <w:p w14:paraId="11768B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tcBorders>
              <w:right w:val="single" w:color="auto" w:sz="4" w:space="0"/>
            </w:tcBorders>
            <w:noWrap w:val="0"/>
            <w:vAlign w:val="center"/>
          </w:tcPr>
          <w:p w14:paraId="101A1C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6" w:type="dxa"/>
            <w:gridSpan w:val="2"/>
            <w:tcBorders>
              <w:right w:val="single" w:color="auto" w:sz="4" w:space="0"/>
            </w:tcBorders>
            <w:noWrap w:val="0"/>
            <w:vAlign w:val="center"/>
          </w:tcPr>
          <w:p w14:paraId="02FC4B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r>
    </w:tbl>
    <w:p w14:paraId="74067C7D">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单位工程评价汇总表(建筑工程)（表2-7-1）</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1066"/>
        <w:gridCol w:w="248"/>
        <w:gridCol w:w="1314"/>
        <w:gridCol w:w="521"/>
        <w:gridCol w:w="793"/>
        <w:gridCol w:w="1316"/>
      </w:tblGrid>
      <w:tr w14:paraId="3640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D2434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02C36B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531D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3A436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349067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32AB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225" w:type="dxa"/>
            <w:gridSpan w:val="2"/>
            <w:noWrap w:val="0"/>
            <w:vAlign w:val="center"/>
          </w:tcPr>
          <w:p w14:paraId="4A2328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783" w:type="dxa"/>
            <w:gridSpan w:val="3"/>
            <w:noWrap w:val="0"/>
            <w:vAlign w:val="center"/>
          </w:tcPr>
          <w:p w14:paraId="34FCA8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建筑工程</w:t>
            </w:r>
          </w:p>
        </w:tc>
        <w:tc>
          <w:tcPr>
            <w:tcW w:w="2083" w:type="dxa"/>
            <w:gridSpan w:val="3"/>
            <w:noWrap w:val="0"/>
            <w:vAlign w:val="center"/>
          </w:tcPr>
          <w:p w14:paraId="43DE71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109" w:type="dxa"/>
            <w:gridSpan w:val="2"/>
            <w:noWrap w:val="0"/>
            <w:vAlign w:val="center"/>
          </w:tcPr>
          <w:p w14:paraId="15BF7E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A437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3618B5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692F32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highlight w:val="none"/>
              </w:rPr>
              <w:t>单位工程竣工</w:t>
            </w:r>
            <w:r>
              <w:rPr>
                <w:rFonts w:hint="eastAsia" w:ascii="仿宋_GB2312" w:hAnsi="仿宋_GB2312" w:eastAsia="仿宋_GB2312" w:cs="仿宋_GB2312"/>
                <w:color w:val="auto"/>
                <w:spacing w:val="-2"/>
                <w:sz w:val="28"/>
                <w:szCs w:val="28"/>
                <w:highlight w:val="none"/>
                <w:lang w:val="en-US" w:eastAsia="zh-CN"/>
              </w:rPr>
              <w:t>或</w:t>
            </w:r>
            <w:r>
              <w:rPr>
                <w:rFonts w:hint="eastAsia" w:ascii="仿宋_GB2312" w:hAnsi="仿宋_GB2312" w:eastAsia="仿宋_GB2312" w:cs="仿宋_GB2312"/>
                <w:color w:val="auto"/>
                <w:spacing w:val="-2"/>
                <w:sz w:val="28"/>
                <w:szCs w:val="28"/>
                <w:highlight w:val="none"/>
              </w:rPr>
              <w:t>申请五方验收</w:t>
            </w:r>
          </w:p>
        </w:tc>
      </w:tr>
      <w:tr w14:paraId="26D9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4BF18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783" w:type="dxa"/>
            <w:gridSpan w:val="3"/>
            <w:noWrap w:val="0"/>
            <w:vAlign w:val="center"/>
          </w:tcPr>
          <w:p w14:paraId="424023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83" w:type="dxa"/>
            <w:gridSpan w:val="3"/>
            <w:noWrap w:val="0"/>
            <w:vAlign w:val="center"/>
          </w:tcPr>
          <w:p w14:paraId="35956A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109" w:type="dxa"/>
            <w:gridSpan w:val="2"/>
            <w:noWrap w:val="0"/>
            <w:vAlign w:val="center"/>
          </w:tcPr>
          <w:p w14:paraId="244F8B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08413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13A512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地基与基础工程</w:t>
            </w:r>
          </w:p>
        </w:tc>
        <w:tc>
          <w:tcPr>
            <w:tcW w:w="2783" w:type="dxa"/>
            <w:gridSpan w:val="3"/>
            <w:noWrap w:val="0"/>
            <w:vAlign w:val="center"/>
          </w:tcPr>
          <w:p w14:paraId="57579D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83" w:type="dxa"/>
            <w:gridSpan w:val="3"/>
            <w:noWrap w:val="0"/>
            <w:vAlign w:val="center"/>
          </w:tcPr>
          <w:p w14:paraId="594676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0.30</w:t>
            </w:r>
          </w:p>
        </w:tc>
        <w:tc>
          <w:tcPr>
            <w:tcW w:w="2109" w:type="dxa"/>
            <w:gridSpan w:val="2"/>
            <w:noWrap w:val="0"/>
            <w:vAlign w:val="center"/>
          </w:tcPr>
          <w:p w14:paraId="14C0A9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E98F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center"/>
          </w:tcPr>
          <w:p w14:paraId="767295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主体结构工程</w:t>
            </w:r>
          </w:p>
        </w:tc>
        <w:tc>
          <w:tcPr>
            <w:tcW w:w="2783" w:type="dxa"/>
            <w:gridSpan w:val="3"/>
            <w:noWrap w:val="0"/>
            <w:vAlign w:val="center"/>
          </w:tcPr>
          <w:p w14:paraId="4F070D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83" w:type="dxa"/>
            <w:gridSpan w:val="3"/>
            <w:noWrap w:val="0"/>
            <w:vAlign w:val="center"/>
          </w:tcPr>
          <w:p w14:paraId="7AE300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109" w:type="dxa"/>
            <w:gridSpan w:val="2"/>
            <w:noWrap w:val="0"/>
            <w:vAlign w:val="center"/>
          </w:tcPr>
          <w:p w14:paraId="4E2967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C19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012446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装饰装修与机电安装工程</w:t>
            </w:r>
          </w:p>
        </w:tc>
        <w:tc>
          <w:tcPr>
            <w:tcW w:w="2783" w:type="dxa"/>
            <w:gridSpan w:val="3"/>
            <w:noWrap w:val="0"/>
            <w:vAlign w:val="center"/>
          </w:tcPr>
          <w:p w14:paraId="1C4D7D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83" w:type="dxa"/>
            <w:gridSpan w:val="3"/>
            <w:noWrap w:val="0"/>
            <w:vAlign w:val="center"/>
          </w:tcPr>
          <w:p w14:paraId="107949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0.30</w:t>
            </w:r>
          </w:p>
        </w:tc>
        <w:tc>
          <w:tcPr>
            <w:tcW w:w="2109" w:type="dxa"/>
            <w:gridSpan w:val="2"/>
            <w:noWrap w:val="0"/>
            <w:vAlign w:val="center"/>
          </w:tcPr>
          <w:p w14:paraId="31036F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B61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3FF4D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783" w:type="dxa"/>
            <w:gridSpan w:val="3"/>
            <w:noWrap w:val="0"/>
            <w:vAlign w:val="center"/>
          </w:tcPr>
          <w:p w14:paraId="06FF06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2083" w:type="dxa"/>
            <w:gridSpan w:val="3"/>
            <w:noWrap w:val="0"/>
            <w:vAlign w:val="center"/>
          </w:tcPr>
          <w:p w14:paraId="017312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109" w:type="dxa"/>
            <w:gridSpan w:val="2"/>
            <w:noWrap w:val="0"/>
            <w:vAlign w:val="center"/>
          </w:tcPr>
          <w:p w14:paraId="6C261D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CFB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20E8CB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783" w:type="dxa"/>
            <w:gridSpan w:val="3"/>
            <w:noWrap w:val="0"/>
            <w:vAlign w:val="center"/>
          </w:tcPr>
          <w:p w14:paraId="68701F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83" w:type="dxa"/>
            <w:gridSpan w:val="3"/>
            <w:noWrap w:val="0"/>
            <w:vAlign w:val="center"/>
          </w:tcPr>
          <w:p w14:paraId="483765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109" w:type="dxa"/>
            <w:gridSpan w:val="2"/>
            <w:noWrap w:val="0"/>
            <w:vAlign w:val="center"/>
          </w:tcPr>
          <w:p w14:paraId="0CD03E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3CB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5" w:hRule="atLeast"/>
        </w:trPr>
        <w:tc>
          <w:tcPr>
            <w:tcW w:w="2225" w:type="dxa"/>
            <w:gridSpan w:val="2"/>
            <w:noWrap w:val="0"/>
            <w:vAlign w:val="center"/>
          </w:tcPr>
          <w:p w14:paraId="0A9719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67465D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46BD06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172C6A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604357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37F7D3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57F141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3D81B6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3601B3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3981D6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6525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14" w:type="dxa"/>
            <w:vMerge w:val="restart"/>
            <w:noWrap w:val="0"/>
            <w:vAlign w:val="center"/>
          </w:tcPr>
          <w:p w14:paraId="7D3B84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56BC74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31EAA3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628" w:type="dxa"/>
            <w:gridSpan w:val="3"/>
            <w:noWrap w:val="0"/>
            <w:vAlign w:val="center"/>
          </w:tcPr>
          <w:p w14:paraId="142C88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630" w:type="dxa"/>
            <w:gridSpan w:val="3"/>
            <w:noWrap w:val="0"/>
            <w:vAlign w:val="center"/>
          </w:tcPr>
          <w:p w14:paraId="3ABCC9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43B92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314" w:type="dxa"/>
            <w:vMerge w:val="continue"/>
            <w:noWrap w:val="0"/>
            <w:vAlign w:val="top"/>
          </w:tcPr>
          <w:p w14:paraId="0B6734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70A47D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14" w:type="dxa"/>
            <w:noWrap w:val="0"/>
            <w:vAlign w:val="center"/>
          </w:tcPr>
          <w:p w14:paraId="42164F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14" w:type="dxa"/>
            <w:gridSpan w:val="2"/>
            <w:noWrap w:val="0"/>
            <w:vAlign w:val="center"/>
          </w:tcPr>
          <w:p w14:paraId="77A40E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14" w:type="dxa"/>
            <w:noWrap w:val="0"/>
            <w:vAlign w:val="center"/>
          </w:tcPr>
          <w:p w14:paraId="372617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14" w:type="dxa"/>
            <w:gridSpan w:val="2"/>
            <w:noWrap w:val="0"/>
            <w:vAlign w:val="center"/>
          </w:tcPr>
          <w:p w14:paraId="41006D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16" w:type="dxa"/>
            <w:noWrap w:val="0"/>
            <w:vAlign w:val="center"/>
          </w:tcPr>
          <w:p w14:paraId="65F719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4B1FA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559B7B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1B7E38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noWrap w:val="0"/>
            <w:vAlign w:val="center"/>
          </w:tcPr>
          <w:p w14:paraId="7896E2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gridSpan w:val="2"/>
            <w:noWrap w:val="0"/>
            <w:vAlign w:val="center"/>
          </w:tcPr>
          <w:p w14:paraId="7E3868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noWrap w:val="0"/>
            <w:vAlign w:val="center"/>
          </w:tcPr>
          <w:p w14:paraId="1F9341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gridSpan w:val="2"/>
            <w:noWrap w:val="0"/>
            <w:vAlign w:val="center"/>
          </w:tcPr>
          <w:p w14:paraId="62417D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6" w:type="dxa"/>
            <w:noWrap w:val="0"/>
            <w:vAlign w:val="center"/>
          </w:tcPr>
          <w:p w14:paraId="25899A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r>
    </w:tbl>
    <w:p w14:paraId="4910E6F1">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单位工程评价汇总表(道桥工程)（表2-7-2）</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6D27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22EA7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54DC75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DDB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A9D99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00F91C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E12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503EB4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15C221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0369E4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5C0C2F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53A9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4DEF02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14136D5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3B8F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2E084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76D59F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0FF4EC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007958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7A3C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top"/>
          </w:tcPr>
          <w:p w14:paraId="436B3A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地基与基础工程</w:t>
            </w:r>
          </w:p>
        </w:tc>
        <w:tc>
          <w:tcPr>
            <w:tcW w:w="2625" w:type="dxa"/>
            <w:gridSpan w:val="3"/>
            <w:noWrap w:val="0"/>
            <w:vAlign w:val="center"/>
          </w:tcPr>
          <w:p w14:paraId="284B0C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3BC066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4</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2765CA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061D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top"/>
          </w:tcPr>
          <w:p w14:paraId="590A22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结构工程</w:t>
            </w:r>
          </w:p>
        </w:tc>
        <w:tc>
          <w:tcPr>
            <w:tcW w:w="2625" w:type="dxa"/>
            <w:gridSpan w:val="3"/>
            <w:noWrap w:val="0"/>
            <w:vAlign w:val="center"/>
          </w:tcPr>
          <w:p w14:paraId="611D79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49F98E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317" w:type="dxa"/>
            <w:gridSpan w:val="2"/>
            <w:noWrap w:val="0"/>
            <w:vAlign w:val="center"/>
          </w:tcPr>
          <w:p w14:paraId="4A2906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89C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225" w:type="dxa"/>
            <w:gridSpan w:val="2"/>
            <w:noWrap w:val="0"/>
            <w:vAlign w:val="top"/>
          </w:tcPr>
          <w:p w14:paraId="4D1807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桥(路)面及附属设施工程</w:t>
            </w:r>
          </w:p>
        </w:tc>
        <w:tc>
          <w:tcPr>
            <w:tcW w:w="2625" w:type="dxa"/>
            <w:gridSpan w:val="3"/>
            <w:noWrap w:val="0"/>
            <w:vAlign w:val="center"/>
          </w:tcPr>
          <w:p w14:paraId="6D2588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3839F0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2</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365AFB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FB8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75D5FA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625" w:type="dxa"/>
            <w:gridSpan w:val="3"/>
            <w:noWrap w:val="0"/>
            <w:vAlign w:val="center"/>
          </w:tcPr>
          <w:p w14:paraId="5E555C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7259D4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06D3A6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9FF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55954C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37F842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01B994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4C7894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5D6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2225" w:type="dxa"/>
            <w:gridSpan w:val="2"/>
            <w:noWrap w:val="0"/>
            <w:vAlign w:val="center"/>
          </w:tcPr>
          <w:p w14:paraId="5E4DE2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60C6D3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520928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3A0CCD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7CB2AC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14C854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6C01D0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688CD8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30FF02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586086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2A15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4" w:type="dxa"/>
            <w:vMerge w:val="restart"/>
            <w:noWrap w:val="0"/>
            <w:vAlign w:val="center"/>
          </w:tcPr>
          <w:p w14:paraId="516078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6E6ACC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758857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2FF8DD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10F2B5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5001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14" w:type="dxa"/>
            <w:vMerge w:val="continue"/>
            <w:noWrap w:val="0"/>
            <w:vAlign w:val="top"/>
          </w:tcPr>
          <w:p w14:paraId="7F38A9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5CCB5F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5F8069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0C7933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4B84E2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1CE6D5C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2E19E0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30B9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137178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662CD2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576652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5CC426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444450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77E83E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3CA212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36EFD977">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p>
    <w:p w14:paraId="1322878D">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单位工程评价汇总表(矿山法隧道工程)（表2-7-3）</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51A9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603B3B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305E9F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4CA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0D63DD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24B24D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003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574B2E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0FF67A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191E89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435150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4AC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96486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05C46B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6DBA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4FA1A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51CF46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7EE3E9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195608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3182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1B41C160">
            <w:pPr>
              <w:pStyle w:val="8"/>
              <w:keepNext w:val="0"/>
              <w:keepLines w:val="0"/>
              <w:pageBreakBefore w:val="0"/>
              <w:widowControl w:val="0"/>
              <w:kinsoku/>
              <w:wordWrap/>
              <w:overflowPunct w:val="0"/>
              <w:topLinePunct w:val="0"/>
              <w:autoSpaceDE w:val="0"/>
              <w:autoSpaceDN w:val="0"/>
              <w:bidi w:val="0"/>
              <w:adjustRightInd w:val="0"/>
              <w:snapToGrid w:val="0"/>
              <w:spacing w:line="260" w:lineRule="exact"/>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开挖</w:t>
            </w:r>
          </w:p>
        </w:tc>
        <w:tc>
          <w:tcPr>
            <w:tcW w:w="2625" w:type="dxa"/>
            <w:gridSpan w:val="3"/>
            <w:noWrap w:val="0"/>
            <w:vAlign w:val="center"/>
          </w:tcPr>
          <w:p w14:paraId="517E33D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78882C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4</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606614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9124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225" w:type="dxa"/>
            <w:gridSpan w:val="2"/>
            <w:noWrap w:val="0"/>
            <w:vAlign w:val="center"/>
          </w:tcPr>
          <w:p w14:paraId="7D7DF0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衬砌与支护</w:t>
            </w:r>
          </w:p>
        </w:tc>
        <w:tc>
          <w:tcPr>
            <w:tcW w:w="2625" w:type="dxa"/>
            <w:gridSpan w:val="3"/>
            <w:noWrap w:val="0"/>
            <w:vAlign w:val="center"/>
          </w:tcPr>
          <w:p w14:paraId="727AA3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4D5AE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317" w:type="dxa"/>
            <w:gridSpan w:val="2"/>
            <w:noWrap w:val="0"/>
            <w:vAlign w:val="center"/>
          </w:tcPr>
          <w:p w14:paraId="6483AB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4C2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3B3CB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附属设施</w:t>
            </w:r>
          </w:p>
        </w:tc>
        <w:tc>
          <w:tcPr>
            <w:tcW w:w="2625" w:type="dxa"/>
            <w:gridSpan w:val="3"/>
            <w:noWrap w:val="0"/>
            <w:vAlign w:val="center"/>
          </w:tcPr>
          <w:p w14:paraId="023F5E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3EEC11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2</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7EC66E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2B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B8EA5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625" w:type="dxa"/>
            <w:gridSpan w:val="3"/>
            <w:noWrap w:val="0"/>
            <w:vAlign w:val="center"/>
          </w:tcPr>
          <w:p w14:paraId="2CC67C8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0254A7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4A8AD0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7ED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0C1F7E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1E466C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079505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70DE5F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FBE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2225" w:type="dxa"/>
            <w:gridSpan w:val="2"/>
            <w:noWrap w:val="0"/>
            <w:vAlign w:val="center"/>
          </w:tcPr>
          <w:p w14:paraId="2CA9BC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4EE116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2109DF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09C870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17B34B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18CC99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66E325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39CB49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63AC01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0E09FA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1895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4" w:type="dxa"/>
            <w:vMerge w:val="restart"/>
            <w:noWrap w:val="0"/>
            <w:vAlign w:val="center"/>
          </w:tcPr>
          <w:p w14:paraId="3723C9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5D19E8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7EC5A5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640A98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7F4728A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77D9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14" w:type="dxa"/>
            <w:vMerge w:val="continue"/>
            <w:noWrap w:val="0"/>
            <w:vAlign w:val="top"/>
          </w:tcPr>
          <w:p w14:paraId="3189DAF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5FDDC5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2EB256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6B646E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2982F1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20AACD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24D7BF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534A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602BAE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6209F0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7792F0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587931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343C3D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1BBFB0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343B4B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1AF9F27E">
      <w:pPr>
        <w:rPr>
          <w:rFonts w:hint="eastAsia" w:ascii="华文中宋" w:hAnsi="华文中宋" w:eastAsia="华文中宋" w:cs="仿宋_GB2312"/>
          <w:color w:val="auto"/>
          <w:sz w:val="28"/>
          <w:szCs w:val="28"/>
          <w:lang w:val="en-US" w:eastAsia="zh-CN"/>
        </w:rPr>
      </w:pPr>
    </w:p>
    <w:p w14:paraId="63960DC9">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单位工程评价汇总表(盾构法隧道工程)（表2-7-4）</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0A93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F6780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21E600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8AB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EF480E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68E43C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A39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608FA4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34492E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58B6C7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66A9DF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220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BEA53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5690D2F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5D41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6E45F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072A34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397410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494592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2056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736F3A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始发与接收</w:t>
            </w:r>
          </w:p>
        </w:tc>
        <w:tc>
          <w:tcPr>
            <w:tcW w:w="2625" w:type="dxa"/>
            <w:gridSpan w:val="3"/>
            <w:noWrap w:val="0"/>
            <w:vAlign w:val="center"/>
          </w:tcPr>
          <w:p w14:paraId="01CFEF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171295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4</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44BCE5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7ED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center"/>
          </w:tcPr>
          <w:p w14:paraId="474641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掘进与衬砌</w:t>
            </w:r>
          </w:p>
        </w:tc>
        <w:tc>
          <w:tcPr>
            <w:tcW w:w="2625" w:type="dxa"/>
            <w:gridSpan w:val="3"/>
            <w:noWrap w:val="0"/>
            <w:vAlign w:val="center"/>
          </w:tcPr>
          <w:p w14:paraId="0FC938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BD6AF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317" w:type="dxa"/>
            <w:gridSpan w:val="2"/>
            <w:noWrap w:val="0"/>
            <w:vAlign w:val="center"/>
          </w:tcPr>
          <w:p w14:paraId="0C8C83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FDD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01020F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附属设施</w:t>
            </w:r>
          </w:p>
        </w:tc>
        <w:tc>
          <w:tcPr>
            <w:tcW w:w="2625" w:type="dxa"/>
            <w:gridSpan w:val="3"/>
            <w:noWrap w:val="0"/>
            <w:vAlign w:val="center"/>
          </w:tcPr>
          <w:p w14:paraId="3FE89F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740A64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2</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321590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271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4C344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625" w:type="dxa"/>
            <w:gridSpan w:val="3"/>
            <w:noWrap w:val="0"/>
            <w:vAlign w:val="center"/>
          </w:tcPr>
          <w:p w14:paraId="6F9797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24EA19A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119496F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D6BD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2C5A29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29C414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6E6946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6083B3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364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2225" w:type="dxa"/>
            <w:gridSpan w:val="2"/>
            <w:noWrap w:val="0"/>
            <w:vAlign w:val="top"/>
          </w:tcPr>
          <w:p w14:paraId="26D912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156413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059AA7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1FA2EC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5E3AFA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21C9AE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747C26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0A2367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7F35AC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6FC98F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6C81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4" w:type="dxa"/>
            <w:vMerge w:val="restart"/>
            <w:noWrap w:val="0"/>
            <w:vAlign w:val="center"/>
          </w:tcPr>
          <w:p w14:paraId="7C257A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20A2E38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29BDAC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144289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3E4F70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3E36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14" w:type="dxa"/>
            <w:vMerge w:val="continue"/>
            <w:noWrap w:val="0"/>
            <w:vAlign w:val="top"/>
          </w:tcPr>
          <w:p w14:paraId="39881F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56EC79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3D079C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4FEF62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3E09A1D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6400AA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4EC585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1D91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29E30F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239971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700199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0B067E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1F932B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799558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2B10C6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4626EE07">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单位工程评价汇总表(管线工程)（表2-7-5）</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1BFC3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76AEAA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11B1AE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4C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69CA86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6FF3FA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233F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423A9A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5648FB5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3BA964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3A8BFD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3E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817BB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4EF1A0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5AC21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449510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60E95F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2944EB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145FD0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013A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53E441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定位</w:t>
            </w:r>
          </w:p>
        </w:tc>
        <w:tc>
          <w:tcPr>
            <w:tcW w:w="2625" w:type="dxa"/>
            <w:gridSpan w:val="3"/>
            <w:noWrap w:val="0"/>
            <w:vAlign w:val="center"/>
          </w:tcPr>
          <w:p w14:paraId="42E73C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142B4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1</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71C964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FA5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center"/>
          </w:tcPr>
          <w:p w14:paraId="276E8A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安装</w:t>
            </w:r>
          </w:p>
        </w:tc>
        <w:tc>
          <w:tcPr>
            <w:tcW w:w="2625" w:type="dxa"/>
            <w:gridSpan w:val="3"/>
            <w:noWrap w:val="0"/>
            <w:vAlign w:val="center"/>
          </w:tcPr>
          <w:p w14:paraId="0A3704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8E587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6</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64A468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AD6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7DF35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测试与联网</w:t>
            </w:r>
          </w:p>
        </w:tc>
        <w:tc>
          <w:tcPr>
            <w:tcW w:w="2625" w:type="dxa"/>
            <w:gridSpan w:val="3"/>
            <w:noWrap w:val="0"/>
            <w:vAlign w:val="center"/>
          </w:tcPr>
          <w:p w14:paraId="6B6E98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1584D2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3</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0660F1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CF3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4F20D5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单位工程基本得分W₁</w:t>
            </w:r>
          </w:p>
        </w:tc>
        <w:tc>
          <w:tcPr>
            <w:tcW w:w="2625" w:type="dxa"/>
            <w:gridSpan w:val="3"/>
            <w:noWrap w:val="0"/>
            <w:vAlign w:val="center"/>
          </w:tcPr>
          <w:p w14:paraId="782685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1E9B9B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01EF86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9C1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25" w:type="dxa"/>
            <w:gridSpan w:val="2"/>
            <w:noWrap w:val="0"/>
            <w:vAlign w:val="center"/>
          </w:tcPr>
          <w:p w14:paraId="4F5DCA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1B4180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2F5D84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7205F9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DE8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4" w:hRule="atLeast"/>
        </w:trPr>
        <w:tc>
          <w:tcPr>
            <w:tcW w:w="2225" w:type="dxa"/>
            <w:gridSpan w:val="2"/>
            <w:noWrap w:val="0"/>
            <w:vAlign w:val="top"/>
          </w:tcPr>
          <w:p w14:paraId="460129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58015E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5F87DD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2C58B5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1D9D6C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785963F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311F2D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22A712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767A98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31F1E7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7AA2A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14" w:type="dxa"/>
            <w:vMerge w:val="restart"/>
            <w:noWrap w:val="0"/>
            <w:vAlign w:val="center"/>
          </w:tcPr>
          <w:p w14:paraId="0E557C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2127A6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649EC6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66445B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06188D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71B6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14" w:type="dxa"/>
            <w:vMerge w:val="continue"/>
            <w:noWrap w:val="0"/>
            <w:vAlign w:val="top"/>
          </w:tcPr>
          <w:p w14:paraId="08D183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6C107E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6A6FE8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20352C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1B0AF8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787F45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61A258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7A60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14" w:type="dxa"/>
            <w:vMerge w:val="continue"/>
            <w:noWrap w:val="0"/>
            <w:vAlign w:val="top"/>
          </w:tcPr>
          <w:p w14:paraId="430025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2FC1E7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0B885E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329973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5FD972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72A7A8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71E281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5384FAC3">
      <w:pPr>
        <w:jc w:val="both"/>
        <w:rPr>
          <w:rFonts w:hint="eastAsia" w:ascii="华文中宋" w:hAnsi="华文中宋" w:eastAsia="华文中宋" w:cs="仿宋_GB2312"/>
          <w:color w:val="auto"/>
          <w:kern w:val="2"/>
          <w:sz w:val="32"/>
          <w:szCs w:val="32"/>
          <w:lang w:val="en-US" w:eastAsia="zh-CN" w:bidi="ar-SA"/>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AB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D110E">
                          <w:pPr>
                            <w:pStyle w:val="3"/>
                            <w:rPr>
                              <w:rFonts w:hint="eastAsia" w:asciiTheme="minorEastAsia" w:hAnsiTheme="minorEastAsia" w:eastAsiaTheme="minorEastAsia" w:cstheme="minorEastAsia"/>
                              <w:sz w:val="24"/>
                              <w:szCs w:val="48"/>
                              <w:lang w:eastAsia="zh-CN"/>
                            </w:rPr>
                          </w:pPr>
                          <w:r>
                            <w:rPr>
                              <w:rFonts w:hint="eastAsia" w:asciiTheme="minorEastAsia" w:hAnsiTheme="minorEastAsia" w:eastAsiaTheme="minorEastAsia" w:cstheme="minorEastAsia"/>
                              <w:sz w:val="24"/>
                              <w:szCs w:val="48"/>
                              <w:lang w:eastAsia="zh-CN"/>
                            </w:rPr>
                            <w:t xml:space="preserve">— </w:t>
                          </w:r>
                          <w:r>
                            <w:rPr>
                              <w:rFonts w:hint="eastAsia" w:asciiTheme="minorEastAsia" w:hAnsiTheme="minorEastAsia" w:eastAsiaTheme="minorEastAsia" w:cstheme="minorEastAsia"/>
                              <w:sz w:val="24"/>
                              <w:szCs w:val="48"/>
                              <w:lang w:eastAsia="zh-CN"/>
                            </w:rPr>
                            <w:fldChar w:fldCharType="begin"/>
                          </w:r>
                          <w:r>
                            <w:rPr>
                              <w:rFonts w:hint="eastAsia" w:asciiTheme="minorEastAsia" w:hAnsiTheme="minorEastAsia" w:eastAsiaTheme="minorEastAsia" w:cstheme="minorEastAsia"/>
                              <w:sz w:val="24"/>
                              <w:szCs w:val="48"/>
                              <w:lang w:eastAsia="zh-CN"/>
                            </w:rPr>
                            <w:instrText xml:space="preserve"> PAGE  \* MERGEFORMAT </w:instrText>
                          </w:r>
                          <w:r>
                            <w:rPr>
                              <w:rFonts w:hint="eastAsia" w:asciiTheme="minorEastAsia" w:hAnsiTheme="minorEastAsia" w:eastAsiaTheme="minorEastAsia" w:cstheme="minorEastAsia"/>
                              <w:sz w:val="24"/>
                              <w:szCs w:val="48"/>
                              <w:lang w:eastAsia="zh-CN"/>
                            </w:rPr>
                            <w:fldChar w:fldCharType="separate"/>
                          </w:r>
                          <w:r>
                            <w:rPr>
                              <w:rFonts w:hint="eastAsia" w:asciiTheme="minorEastAsia" w:hAnsiTheme="minorEastAsia" w:eastAsiaTheme="minorEastAsia" w:cstheme="minorEastAsia"/>
                              <w:sz w:val="24"/>
                              <w:szCs w:val="48"/>
                              <w:lang w:eastAsia="zh-CN"/>
                            </w:rPr>
                            <w:t>1</w:t>
                          </w:r>
                          <w:r>
                            <w:rPr>
                              <w:rFonts w:hint="eastAsia" w:asciiTheme="minorEastAsia" w:hAnsiTheme="minorEastAsia" w:eastAsiaTheme="minorEastAsia" w:cstheme="minorEastAsia"/>
                              <w:sz w:val="24"/>
                              <w:szCs w:val="48"/>
                              <w:lang w:eastAsia="zh-CN"/>
                            </w:rPr>
                            <w:fldChar w:fldCharType="end"/>
                          </w:r>
                          <w:r>
                            <w:rPr>
                              <w:rFonts w:hint="eastAsia" w:asciiTheme="minorEastAsia" w:hAnsiTheme="minorEastAsia" w:eastAsiaTheme="minorEastAsia" w:cstheme="minorEastAsia"/>
                              <w:sz w:val="24"/>
                              <w:szCs w:val="4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7D110E">
                    <w:pPr>
                      <w:pStyle w:val="3"/>
                      <w:rPr>
                        <w:rFonts w:hint="eastAsia" w:asciiTheme="minorEastAsia" w:hAnsiTheme="minorEastAsia" w:eastAsiaTheme="minorEastAsia" w:cstheme="minorEastAsia"/>
                        <w:sz w:val="24"/>
                        <w:szCs w:val="48"/>
                        <w:lang w:eastAsia="zh-CN"/>
                      </w:rPr>
                    </w:pPr>
                    <w:r>
                      <w:rPr>
                        <w:rFonts w:hint="eastAsia" w:asciiTheme="minorEastAsia" w:hAnsiTheme="minorEastAsia" w:eastAsiaTheme="minorEastAsia" w:cstheme="minorEastAsia"/>
                        <w:sz w:val="24"/>
                        <w:szCs w:val="48"/>
                        <w:lang w:eastAsia="zh-CN"/>
                      </w:rPr>
                      <w:t xml:space="preserve">— </w:t>
                    </w:r>
                    <w:r>
                      <w:rPr>
                        <w:rFonts w:hint="eastAsia" w:asciiTheme="minorEastAsia" w:hAnsiTheme="minorEastAsia" w:eastAsiaTheme="minorEastAsia" w:cstheme="minorEastAsia"/>
                        <w:sz w:val="24"/>
                        <w:szCs w:val="48"/>
                        <w:lang w:eastAsia="zh-CN"/>
                      </w:rPr>
                      <w:fldChar w:fldCharType="begin"/>
                    </w:r>
                    <w:r>
                      <w:rPr>
                        <w:rFonts w:hint="eastAsia" w:asciiTheme="minorEastAsia" w:hAnsiTheme="minorEastAsia" w:eastAsiaTheme="minorEastAsia" w:cstheme="minorEastAsia"/>
                        <w:sz w:val="24"/>
                        <w:szCs w:val="48"/>
                        <w:lang w:eastAsia="zh-CN"/>
                      </w:rPr>
                      <w:instrText xml:space="preserve"> PAGE  \* MERGEFORMAT </w:instrText>
                    </w:r>
                    <w:r>
                      <w:rPr>
                        <w:rFonts w:hint="eastAsia" w:asciiTheme="minorEastAsia" w:hAnsiTheme="minorEastAsia" w:eastAsiaTheme="minorEastAsia" w:cstheme="minorEastAsia"/>
                        <w:sz w:val="24"/>
                        <w:szCs w:val="48"/>
                        <w:lang w:eastAsia="zh-CN"/>
                      </w:rPr>
                      <w:fldChar w:fldCharType="separate"/>
                    </w:r>
                    <w:r>
                      <w:rPr>
                        <w:rFonts w:hint="eastAsia" w:asciiTheme="minorEastAsia" w:hAnsiTheme="minorEastAsia" w:eastAsiaTheme="minorEastAsia" w:cstheme="minorEastAsia"/>
                        <w:sz w:val="24"/>
                        <w:szCs w:val="48"/>
                        <w:lang w:eastAsia="zh-CN"/>
                      </w:rPr>
                      <w:t>1</w:t>
                    </w:r>
                    <w:r>
                      <w:rPr>
                        <w:rFonts w:hint="eastAsia" w:asciiTheme="minorEastAsia" w:hAnsiTheme="minorEastAsia" w:eastAsiaTheme="minorEastAsia" w:cstheme="minorEastAsia"/>
                        <w:sz w:val="24"/>
                        <w:szCs w:val="48"/>
                        <w:lang w:eastAsia="zh-CN"/>
                      </w:rPr>
                      <w:fldChar w:fldCharType="end"/>
                    </w:r>
                    <w:r>
                      <w:rPr>
                        <w:rFonts w:hint="eastAsia" w:asciiTheme="minorEastAsia" w:hAnsiTheme="minorEastAsia" w:eastAsiaTheme="minorEastAsia" w:cstheme="minorEastAsia"/>
                        <w:sz w:val="24"/>
                        <w:szCs w:val="4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5E8FF"/>
    <w:multiLevelType w:val="singleLevel"/>
    <w:tmpl w:val="6AC5E8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421A5"/>
    <w:rsid w:val="0FE168B8"/>
    <w:rsid w:val="12B421A5"/>
    <w:rsid w:val="223F443B"/>
    <w:rsid w:val="2A03039D"/>
    <w:rsid w:val="72CF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color w:val="000000" w:themeColor="text1"/>
      <w:kern w:val="2"/>
      <w:sz w:val="32"/>
      <w:szCs w:val="32"/>
      <w:lang w:val="en-US" w:eastAsia="zh-CN" w:bidi="ar-SA"/>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jc w:val="both"/>
    </w:pPr>
    <w:rPr>
      <w:rFonts w:ascii="宋体" w:hAnsi="宋体" w:eastAsia="宋体" w:cs="宋体"/>
      <w:color w:val="000000"/>
      <w:kern w:val="2"/>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Paragraph"/>
    <w:qFormat/>
    <w:uiPriority w:val="1"/>
    <w:pPr>
      <w:widowControl w:val="0"/>
      <w:jc w:val="both"/>
    </w:pPr>
    <w:rPr>
      <w:rFonts w:ascii="Calibri" w:hAnsi="Calibri" w:eastAsia="宋体" w:cs="仿宋_GB2312"/>
      <w:color w:val="000000"/>
      <w:kern w:val="2"/>
      <w:sz w:val="32"/>
      <w:szCs w:val="32"/>
      <w:lang w:val="en-US" w:eastAsia="zh-CN" w:bidi="ar-SA"/>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semiHidden/>
    <w:qFormat/>
    <w:uiPriority w:val="0"/>
    <w:pPr>
      <w:widowControl w:val="0"/>
      <w:jc w:val="both"/>
    </w:pPr>
    <w:rPr>
      <w:rFonts w:ascii="宋体" w:hAnsi="宋体" w:eastAsia="宋体" w:cs="宋体"/>
      <w:color w:val="000000"/>
      <w:kern w:val="2"/>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1243</Words>
  <Characters>1317</Characters>
  <Lines>0</Lines>
  <Paragraphs>0</Paragraphs>
  <TotalTime>1</TotalTime>
  <ScaleCrop>false</ScaleCrop>
  <LinksUpToDate>false</LinksUpToDate>
  <CharactersWithSpaces>1410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2025-09-16T08:34:00Z</dcterms:created>
  <dc:creator>ltj</dc:creator>
  <cp:lastModifiedBy>小赵</cp:lastModifiedBy>
  <dcterms:modified xsi:type="dcterms:W3CDTF">2026-05-13T09:10:23Z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7899167752FA47ED8587F6637672AD87_13</vt:lpwstr>
  </property>
  <property fmtid="{D5CDD505-2E9C-101B-9397-08002B2CF9AE}" pid="4" name="KSOTemplateDocerSaveRecord">
    <vt:lpwstr>eyJoZGlkIjoiNDA2ZjJlZmY1ZmU4MTMyYzk5NjdmMTJmNzJkOWNkM2IiLCJ1c2VySWQiOiI0NjAwNjUzMDAifQ==</vt:lpwstr>
  </property>
</Properties>
</file>