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C6B1A">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1DAFB8E6">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内建协〔2025〕218号</w:t>
      </w:r>
    </w:p>
    <w:p w14:paraId="26899E22">
      <w:pPr>
        <w:jc w:val="center"/>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关于转发中国建筑装饰协会《关于召开学习贯彻党的二十届四中全会精神暨中国建筑装饰协会九届六次理事会九届八次常务理事会的通知》的通知</w:t>
      </w:r>
    </w:p>
    <w:p w14:paraId="484FFF39">
      <w:pPr>
        <w:rPr>
          <w:rFonts w:hint="eastAsia" w:ascii="仿宋_GB2312" w:hAnsi="仿宋_GB2312" w:eastAsia="仿宋_GB2312" w:cs="仿宋_GB2312"/>
          <w:color w:val="000000"/>
          <w:sz w:val="32"/>
          <w:szCs w:val="32"/>
          <w:lang w:val="en-US" w:eastAsia="zh-CN"/>
        </w:rPr>
      </w:pPr>
    </w:p>
    <w:p w14:paraId="7D39AEF1">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各盟市建筑业（行业）协会、满洲里市建筑业协会、会员单位：</w:t>
      </w:r>
    </w:p>
    <w:p w14:paraId="3F424B58">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深入学习贯彻党的二十届四中全会精神，中国建筑装饰协会根据《中国建筑装饰协会章程》规定和协会工作需要，经会长办公会研究，定于2025年12月16日在安徽合肥召开学习贯彻党的二十届四中全会精神暨中国建筑装饰协会九届六次理事会、九届八次常务理事会，现将文件转发给你们。</w:t>
      </w:r>
    </w:p>
    <w:p w14:paraId="05BB7261">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请中国建筑装饰协会内蒙古地区理事、常务理事及有关人员积极参会，并于12月10日前扫描附件二维码报名。</w:t>
      </w:r>
    </w:p>
    <w:p w14:paraId="1EF3EEBF">
      <w:pPr>
        <w:rPr>
          <w:rFonts w:hint="eastAsia" w:ascii="仿宋_GB2312" w:hAnsi="仿宋_GB2312" w:eastAsia="仿宋_GB2312" w:cs="仿宋_GB2312"/>
          <w:color w:val="000000"/>
          <w:sz w:val="32"/>
          <w:szCs w:val="32"/>
          <w:lang w:val="en-US" w:eastAsia="zh-CN"/>
        </w:rPr>
      </w:pPr>
    </w:p>
    <w:p w14:paraId="2EE7F8C1">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联 系 人：刘天娇   </w:t>
      </w:r>
    </w:p>
    <w:p w14:paraId="0744C0C2">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联系电话：19604710892</w:t>
      </w:r>
    </w:p>
    <w:p w14:paraId="6B84DE15">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联系地址：呼和浩特市新城区丝绸之路大道兴泰商务</w:t>
      </w:r>
    </w:p>
    <w:p w14:paraId="66318B7D">
      <w:pPr>
        <w:ind w:firstLine="2240" w:firstLineChars="7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广场T4号10层 </w:t>
      </w:r>
    </w:p>
    <w:p w14:paraId="41D9025C">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邮     编：010050</w:t>
      </w:r>
    </w:p>
    <w:p w14:paraId="04817367">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邮     箱：nmgjzyzs@163.com</w:t>
      </w:r>
    </w:p>
    <w:p w14:paraId="157C167C">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网     址：www.nmgjzyxh.com</w:t>
      </w:r>
    </w:p>
    <w:p w14:paraId="622EA7E5">
      <w:pPr>
        <w:rPr>
          <w:rFonts w:hint="eastAsia" w:ascii="仿宋_GB2312" w:hAnsi="仿宋_GB2312" w:eastAsia="仿宋_GB2312" w:cs="仿宋_GB2312"/>
          <w:color w:val="000000"/>
          <w:sz w:val="32"/>
          <w:szCs w:val="32"/>
          <w:lang w:val="en-US" w:eastAsia="zh-CN"/>
        </w:rPr>
      </w:pPr>
    </w:p>
    <w:p w14:paraId="556F45B8">
      <w:pPr>
        <w:ind w:left="1598" w:leftChars="304" w:hanging="960" w:hangingChars="3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附件：中国建筑装饰协会《关于召开学习贯彻党的二十届四中全会精神暨中国建筑装饰协会九届六次理事会九届八次常务理事会的通知》（中装协〔2025〕80号）</w:t>
      </w:r>
    </w:p>
    <w:p w14:paraId="45C10222">
      <w:pPr>
        <w:rPr>
          <w:rFonts w:hint="eastAsia" w:ascii="仿宋_GB2312" w:hAnsi="仿宋_GB2312" w:eastAsia="仿宋_GB2312" w:cs="仿宋_GB2312"/>
          <w:color w:val="000000"/>
          <w:sz w:val="32"/>
          <w:szCs w:val="32"/>
          <w:lang w:val="en-US" w:eastAsia="zh-CN"/>
        </w:rPr>
      </w:pPr>
    </w:p>
    <w:p w14:paraId="1A120C84">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56A66DB7">
      <w:p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内蒙古自治区建筑业协会</w:t>
      </w:r>
    </w:p>
    <w:p w14:paraId="0A0A7422">
      <w:p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2025年12月4日</w:t>
      </w:r>
    </w:p>
    <w:p w14:paraId="59224787">
      <w:pPr>
        <w:jc w:val="right"/>
        <w:rPr>
          <w:rFonts w:hint="eastAsia" w:ascii="仿宋_GB2312" w:hAnsi="仿宋_GB2312" w:eastAsia="仿宋_GB2312" w:cs="仿宋_GB2312"/>
          <w:color w:val="000000"/>
          <w:sz w:val="32"/>
          <w:szCs w:val="32"/>
          <w:lang w:val="en-US" w:eastAsia="zh-CN"/>
        </w:rPr>
      </w:pPr>
    </w:p>
    <w:p w14:paraId="7900CDAB">
      <w:pPr>
        <w:jc w:val="right"/>
        <w:rPr>
          <w:rFonts w:hint="eastAsia" w:ascii="仿宋_GB2312" w:hAnsi="仿宋_GB2312" w:eastAsia="仿宋_GB2312" w:cs="仿宋_GB2312"/>
          <w:color w:val="000000"/>
          <w:sz w:val="32"/>
          <w:szCs w:val="32"/>
          <w:lang w:val="en-US" w:eastAsia="zh-CN"/>
        </w:rPr>
      </w:pPr>
    </w:p>
    <w:p w14:paraId="286F0103">
      <w:pPr>
        <w:jc w:val="right"/>
        <w:rPr>
          <w:rFonts w:hint="eastAsia" w:ascii="仿宋_GB2312" w:hAnsi="仿宋_GB2312" w:eastAsia="仿宋_GB2312" w:cs="仿宋_GB2312"/>
          <w:color w:val="000000"/>
          <w:sz w:val="32"/>
          <w:szCs w:val="32"/>
          <w:lang w:val="en-US" w:eastAsia="zh-CN"/>
        </w:rPr>
      </w:pPr>
    </w:p>
    <w:p w14:paraId="6ABC1EF6">
      <w:pPr>
        <w:jc w:val="right"/>
        <w:rPr>
          <w:rFonts w:hint="eastAsia" w:ascii="仿宋_GB2312" w:hAnsi="仿宋_GB2312" w:eastAsia="仿宋_GB2312" w:cs="仿宋_GB2312"/>
          <w:color w:val="000000"/>
          <w:sz w:val="32"/>
          <w:szCs w:val="32"/>
          <w:lang w:val="en-US" w:eastAsia="zh-CN"/>
        </w:rPr>
      </w:pPr>
    </w:p>
    <w:p w14:paraId="5D673315">
      <w:pPr>
        <w:jc w:val="right"/>
        <w:rPr>
          <w:rFonts w:hint="eastAsia" w:ascii="仿宋_GB2312" w:hAnsi="仿宋_GB2312" w:eastAsia="仿宋_GB2312" w:cs="仿宋_GB2312"/>
          <w:color w:val="000000"/>
          <w:sz w:val="32"/>
          <w:szCs w:val="32"/>
          <w:lang w:val="en-US" w:eastAsia="zh-CN"/>
        </w:rPr>
      </w:pPr>
    </w:p>
    <w:p w14:paraId="06830304">
      <w:pPr>
        <w:jc w:val="right"/>
        <w:rPr>
          <w:rFonts w:hint="eastAsia" w:ascii="仿宋_GB2312" w:hAnsi="仿宋_GB2312" w:eastAsia="仿宋_GB2312" w:cs="仿宋_GB2312"/>
          <w:color w:val="000000"/>
          <w:sz w:val="32"/>
          <w:szCs w:val="32"/>
          <w:lang w:val="en-US" w:eastAsia="zh-CN"/>
        </w:rPr>
      </w:pPr>
    </w:p>
    <w:p w14:paraId="753D55C6">
      <w:pPr>
        <w:jc w:val="right"/>
        <w:rPr>
          <w:rFonts w:hint="eastAsia" w:ascii="仿宋_GB2312" w:hAnsi="仿宋_GB2312" w:eastAsia="仿宋_GB2312" w:cs="仿宋_GB2312"/>
          <w:color w:val="000000"/>
          <w:sz w:val="32"/>
          <w:szCs w:val="32"/>
          <w:lang w:val="en-US" w:eastAsia="zh-CN"/>
        </w:rPr>
      </w:pPr>
    </w:p>
    <w:p w14:paraId="492E47CF">
      <w:pPr>
        <w:jc w:val="right"/>
        <w:rPr>
          <w:rFonts w:hint="eastAsia" w:ascii="仿宋_GB2312" w:hAnsi="仿宋_GB2312" w:eastAsia="仿宋_GB2312" w:cs="仿宋_GB2312"/>
          <w:color w:val="000000"/>
          <w:sz w:val="32"/>
          <w:szCs w:val="32"/>
          <w:lang w:val="en-US" w:eastAsia="zh-CN"/>
        </w:rPr>
      </w:pPr>
    </w:p>
    <w:p w14:paraId="34301988">
      <w:pPr>
        <w:jc w:val="right"/>
        <w:rPr>
          <w:rFonts w:hint="eastAsia" w:ascii="仿宋_GB2312" w:hAnsi="仿宋_GB2312" w:eastAsia="仿宋_GB2312" w:cs="仿宋_GB2312"/>
          <w:color w:val="000000"/>
          <w:sz w:val="32"/>
          <w:szCs w:val="32"/>
          <w:lang w:val="en-US" w:eastAsia="zh-CN"/>
        </w:rPr>
      </w:pPr>
    </w:p>
    <w:p w14:paraId="5FEF7564">
      <w:pPr>
        <w:jc w:val="right"/>
        <w:rPr>
          <w:rFonts w:hint="eastAsia" w:ascii="仿宋_GB2312" w:hAnsi="仿宋_GB2312" w:eastAsia="仿宋_GB2312" w:cs="仿宋_GB2312"/>
          <w:color w:val="000000"/>
          <w:sz w:val="32"/>
          <w:szCs w:val="32"/>
          <w:lang w:val="en-US" w:eastAsia="zh-CN"/>
        </w:rPr>
      </w:pPr>
    </w:p>
    <w:p w14:paraId="1F49CC2D">
      <w:pPr>
        <w:jc w:val="right"/>
        <w:rPr>
          <w:rFonts w:hint="eastAsia" w:ascii="仿宋_GB2312" w:hAnsi="仿宋_GB2312" w:eastAsia="仿宋_GB2312" w:cs="仿宋_GB2312"/>
          <w:color w:val="000000"/>
          <w:sz w:val="32"/>
          <w:szCs w:val="32"/>
          <w:lang w:val="en-US" w:eastAsia="zh-CN"/>
        </w:rPr>
      </w:pPr>
    </w:p>
    <w:p w14:paraId="70277671">
      <w:pPr>
        <w:jc w:val="both"/>
      </w:pPr>
      <w:r>
        <w:drawing>
          <wp:inline distT="0" distB="0" distL="114300" distR="114300">
            <wp:extent cx="5272405" cy="8815705"/>
            <wp:effectExtent l="0" t="0" r="6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8815705"/>
                    </a:xfrm>
                    <a:prstGeom prst="rect">
                      <a:avLst/>
                    </a:prstGeom>
                    <a:noFill/>
                    <a:ln>
                      <a:noFill/>
                    </a:ln>
                  </pic:spPr>
                </pic:pic>
              </a:graphicData>
            </a:graphic>
          </wp:inline>
        </w:drawing>
      </w:r>
    </w:p>
    <w:p w14:paraId="23853597">
      <w:pPr>
        <w:jc w:val="both"/>
      </w:pPr>
      <w:r>
        <w:drawing>
          <wp:inline distT="0" distB="0" distL="114300" distR="114300">
            <wp:extent cx="5272405" cy="8726170"/>
            <wp:effectExtent l="0" t="0" r="63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8726170"/>
                    </a:xfrm>
                    <a:prstGeom prst="rect">
                      <a:avLst/>
                    </a:prstGeom>
                    <a:noFill/>
                    <a:ln>
                      <a:noFill/>
                    </a:ln>
                  </pic:spPr>
                </pic:pic>
              </a:graphicData>
            </a:graphic>
          </wp:inline>
        </w:drawing>
      </w:r>
    </w:p>
    <w:p w14:paraId="7ADB75E4">
      <w:r>
        <w:drawing>
          <wp:inline distT="0" distB="0" distL="114300" distR="114300">
            <wp:extent cx="5272405" cy="8749665"/>
            <wp:effectExtent l="0" t="0" r="635" b="133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72405" cy="874966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777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kcdz</dc:creator>
  <cp:lastModifiedBy>小赵</cp:lastModifiedBy>
  <dcterms:modified xsi:type="dcterms:W3CDTF">2025-12-08T06:43:31Z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eyJoZGlkIjoiNDA2ZjJlZmY1ZmU4MTMyYzk5NjdmMTJmNzJkOWNkM2IiLCJ1c2VySWQiOiI0NjAwNjUzMDAifQ==</vt:lpwstr>
  </property>
  <property fmtid="{D5CDD505-2E9C-101B-9397-08002B2CF9AE}" pid="4" name="ICV">
    <vt:lpwstr>5C0C8E39526F4DEB9E98505C118D1401_12</vt:lpwstr>
  </property>
</Properties>
</file>