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97C4D">
      <w:pPr>
        <w:jc w:val="both"/>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w:t>
      </w:r>
    </w:p>
    <w:p w14:paraId="07B2A89C">
      <w:pPr>
        <w:jc w:val="center"/>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内建协〔2025〕187号</w:t>
      </w:r>
    </w:p>
    <w:p w14:paraId="2A7A51CA">
      <w:pPr>
        <w:jc w:val="center"/>
        <w:rPr>
          <w:rFonts w:hint="eastAsia" w:ascii="方正小标宋简体" w:hAnsi="方正小标宋简体" w:eastAsia="方正小标宋简体" w:cs="方正小标宋简体"/>
          <w:color w:val="000000"/>
          <w:sz w:val="32"/>
          <w:szCs w:val="32"/>
          <w:lang w:val="en-US" w:eastAsia="zh-CN"/>
        </w:rPr>
      </w:pPr>
      <w:r>
        <w:rPr>
          <w:rFonts w:hint="eastAsia" w:ascii="方正小标宋简体" w:hAnsi="方正小标宋简体" w:eastAsia="方正小标宋简体" w:cs="方正小标宋简体"/>
          <w:color w:val="000000"/>
          <w:sz w:val="32"/>
          <w:szCs w:val="32"/>
          <w:lang w:val="en-US" w:eastAsia="zh-CN"/>
        </w:rPr>
        <w:t>关于转发中国土木工程学会《关于推荐和申报第二十一届</w:t>
      </w:r>
    </w:p>
    <w:p w14:paraId="783B3F25">
      <w:pPr>
        <w:jc w:val="center"/>
        <w:rPr>
          <w:rFonts w:hint="eastAsia" w:ascii="方正小标宋简体" w:hAnsi="方正小标宋简体" w:eastAsia="方正小标宋简体" w:cs="方正小标宋简体"/>
          <w:color w:val="000000"/>
          <w:sz w:val="32"/>
          <w:szCs w:val="32"/>
          <w:lang w:val="en-US" w:eastAsia="zh-CN"/>
        </w:rPr>
      </w:pPr>
      <w:r>
        <w:rPr>
          <w:rFonts w:hint="eastAsia" w:ascii="方正小标宋简体" w:hAnsi="方正小标宋简体" w:eastAsia="方正小标宋简体" w:cs="方正小标宋简体"/>
          <w:color w:val="000000"/>
          <w:sz w:val="32"/>
          <w:szCs w:val="32"/>
          <w:lang w:val="en-US" w:eastAsia="zh-CN"/>
        </w:rPr>
        <w:t>中国土木工程学会中国土木工程詹天佑奖参选工程</w:t>
      </w:r>
    </w:p>
    <w:p w14:paraId="65A1648B">
      <w:pPr>
        <w:jc w:val="center"/>
        <w:rPr>
          <w:rFonts w:hint="eastAsia" w:ascii="方正小标宋简体" w:hAnsi="方正小标宋简体" w:eastAsia="方正小标宋简体" w:cs="方正小标宋简体"/>
          <w:color w:val="000000"/>
          <w:sz w:val="32"/>
          <w:szCs w:val="32"/>
          <w:lang w:val="en-US" w:eastAsia="zh-CN"/>
        </w:rPr>
      </w:pPr>
      <w:r>
        <w:rPr>
          <w:rFonts w:hint="eastAsia" w:ascii="方正小标宋简体" w:hAnsi="方正小标宋简体" w:eastAsia="方正小标宋简体" w:cs="方正小标宋简体"/>
          <w:color w:val="000000"/>
          <w:sz w:val="32"/>
          <w:szCs w:val="32"/>
          <w:lang w:val="en-US" w:eastAsia="zh-CN"/>
        </w:rPr>
        <w:t>的通知》的通知</w:t>
      </w:r>
    </w:p>
    <w:p w14:paraId="6B462406">
      <w:pPr>
        <w:jc w:val="both"/>
        <w:rPr>
          <w:rFonts w:hint="eastAsia" w:ascii="仿宋_GB2312" w:hAnsi="仿宋_GB2312" w:eastAsia="仿宋_GB2312" w:cs="仿宋_GB2312"/>
          <w:color w:val="000000"/>
          <w:sz w:val="32"/>
          <w:szCs w:val="32"/>
          <w:lang w:val="en-US" w:eastAsia="zh-CN"/>
        </w:rPr>
      </w:pPr>
    </w:p>
    <w:p w14:paraId="4C417FC8">
      <w:pPr>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各盟市建筑业（行业）协会、满洲里市建筑业协会、会员单位：</w:t>
      </w:r>
    </w:p>
    <w:p w14:paraId="6EE4B8CA">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现将中国土木工程学会《关于推荐和申报第二十一届中国土木工程学会中国土木工程詹天佑奖参选工程的通知》（中土学〔2025〕8号）转发给你们。请于2025年11月28日前按照通知相关要求将申报材料报送至我会，逾期将不再受理。</w:t>
      </w:r>
    </w:p>
    <w:p w14:paraId="49155EC1">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我会将择优进行推荐。</w:t>
      </w:r>
    </w:p>
    <w:p w14:paraId="48EB88CA">
      <w:pPr>
        <w:ind w:firstLine="640" w:firstLineChars="200"/>
        <w:jc w:val="both"/>
        <w:rPr>
          <w:rFonts w:hint="eastAsia" w:ascii="仿宋_GB2312" w:hAnsi="仿宋_GB2312" w:eastAsia="仿宋_GB2312" w:cs="仿宋_GB2312"/>
          <w:color w:val="000000"/>
          <w:sz w:val="32"/>
          <w:szCs w:val="32"/>
          <w:lang w:val="en-US" w:eastAsia="zh-CN"/>
        </w:rPr>
      </w:pPr>
    </w:p>
    <w:p w14:paraId="48B2B779">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 系 人：高鹏程</w:t>
      </w:r>
    </w:p>
    <w:p w14:paraId="5CA44DDF">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联系电话：0471-6682144</w:t>
      </w:r>
    </w:p>
    <w:p w14:paraId="2DB885DA">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联系地址：呼和浩特市新城区丝绸之路大道兴泰商务</w:t>
      </w:r>
    </w:p>
    <w:p w14:paraId="6D7737E6">
      <w:pPr>
        <w:ind w:firstLine="2240" w:firstLineChars="7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广场T4号10层</w:t>
      </w:r>
    </w:p>
    <w:p w14:paraId="2F33A04F">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网    站：www.nmgjzyxh.com</w:t>
      </w:r>
    </w:p>
    <w:p w14:paraId="7D74707A">
      <w:pPr>
        <w:ind w:firstLine="640" w:firstLineChars="2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邮    箱：nmjxzlaqb@163.com</w:t>
      </w:r>
    </w:p>
    <w:p w14:paraId="19932085">
      <w:pPr>
        <w:jc w:val="both"/>
        <w:rPr>
          <w:rFonts w:hint="eastAsia" w:ascii="仿宋_GB2312" w:hAnsi="仿宋_GB2312" w:eastAsia="仿宋_GB2312" w:cs="仿宋_GB2312"/>
          <w:color w:val="000000"/>
          <w:sz w:val="32"/>
          <w:szCs w:val="32"/>
          <w:lang w:val="en-US" w:eastAsia="zh-CN"/>
        </w:rPr>
      </w:pPr>
    </w:p>
    <w:p w14:paraId="1C8F5BE1">
      <w:pPr>
        <w:ind w:left="1598" w:leftChars="304" w:hanging="960" w:hangingChars="300"/>
        <w:jc w:val="both"/>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附件：关于推荐和申报第二十一届中国土木工程学会中国土木工程詹天佑奖参选工程的通知</w:t>
      </w:r>
    </w:p>
    <w:p w14:paraId="15A8F1B7">
      <w:pPr>
        <w:jc w:val="both"/>
        <w:rPr>
          <w:rFonts w:hint="eastAsia" w:ascii="仿宋_GB2312" w:hAnsi="仿宋_GB2312" w:eastAsia="仿宋_GB2312" w:cs="仿宋_GB2312"/>
          <w:color w:val="000000"/>
          <w:sz w:val="32"/>
          <w:szCs w:val="32"/>
          <w:lang w:val="en-US" w:eastAsia="zh-CN"/>
        </w:rPr>
      </w:pPr>
    </w:p>
    <w:p w14:paraId="14B0149A">
      <w:pPr>
        <w:jc w:val="both"/>
        <w:rPr>
          <w:rFonts w:hint="eastAsia" w:ascii="仿宋_GB2312" w:hAnsi="仿宋_GB2312" w:eastAsia="仿宋_GB2312" w:cs="仿宋_GB2312"/>
          <w:color w:val="000000"/>
          <w:sz w:val="32"/>
          <w:szCs w:val="32"/>
          <w:lang w:val="en-US" w:eastAsia="zh-CN"/>
        </w:rPr>
      </w:pPr>
    </w:p>
    <w:p w14:paraId="1017A097">
      <w:pPr>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内蒙古自治区建筑业协会</w:t>
      </w:r>
    </w:p>
    <w:p w14:paraId="1A931CC5">
      <w:pPr>
        <w:jc w:val="righ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2025年10月9日</w:t>
      </w:r>
    </w:p>
    <w:p w14:paraId="2EA33C14">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D737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B6F709">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7B6F709">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8D58C">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EA0E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2025-10-10T01:55:01Z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7FC8EE6519204A4BB56015874B98B64D_12</vt:lpwstr>
  </property>
</Properties>
</file>