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8F1469">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right="0" w:firstLine="0"/>
        <w:jc w:val="center"/>
        <w:textAlignment w:val="auto"/>
        <w:rPr>
          <w:rFonts w:hint="eastAsia" w:ascii="仿宋_GB2312" w:hAnsi="仿宋_GB2312" w:eastAsia="仿宋_GB2312" w:cs="仿宋_GB2312"/>
          <w:color w:val="000000" w:themeColor="text1"/>
          <w:spacing w:val="0"/>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highlight w:val="none"/>
          <w:lang w:val="en-US" w:eastAsia="zh-CN"/>
          <w14:textFill>
            <w14:solidFill>
              <w14:schemeClr w14:val="tx1"/>
            </w14:solidFill>
          </w14:textFill>
        </w:rPr>
        <w:t>中装协〔2025〕58号</w:t>
      </w:r>
    </w:p>
    <w:p w14:paraId="360F565E">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left="0" w:right="0" w:firstLine="0"/>
        <w:jc w:val="both"/>
        <w:textAlignment w:val="auto"/>
        <w:rPr>
          <w:rFonts w:hint="eastAsia" w:ascii="仿宋_GB2312" w:hAnsi="仿宋_GB2312" w:eastAsia="仿宋_GB2312" w:cs="仿宋_GB2312"/>
          <w:color w:val="000000" w:themeColor="text1"/>
          <w:spacing w:val="0"/>
          <w:kern w:val="0"/>
          <w:sz w:val="32"/>
          <w:szCs w:val="32"/>
          <w14:textFill>
            <w14:solidFill>
              <w14:schemeClr w14:val="tx1"/>
            </w14:solidFill>
          </w14:textFill>
        </w:rPr>
      </w:pPr>
    </w:p>
    <w:p w14:paraId="6DF0E68B">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right="0" w:firstLine="0"/>
        <w:jc w:val="center"/>
        <w:textAlignment w:val="auto"/>
        <w:rPr>
          <w:rFonts w:hint="eastAsia" w:ascii="方正小标宋简体" w:hAnsi="方正小标宋简体" w:eastAsia="方正小标宋简体" w:cs="方正小标宋简体"/>
          <w:snapToGrid w:val="0"/>
          <w:color w:val="000000" w:themeColor="text1"/>
          <w:spacing w:val="0"/>
          <w:kern w:val="0"/>
          <w:sz w:val="36"/>
          <w:szCs w:val="36"/>
          <w:highlight w:val="none"/>
          <w:lang w:val="en-US" w:eastAsia="zh-CN"/>
          <w14:textFill>
            <w14:solidFill>
              <w14:schemeClr w14:val="tx1"/>
            </w14:solidFill>
          </w14:textFill>
        </w:rPr>
      </w:pPr>
      <w:r>
        <w:rPr>
          <w:rFonts w:hint="eastAsia" w:ascii="方正小标宋简体" w:hAnsi="方正小标宋简体" w:eastAsia="方正小标宋简体" w:cs="方正小标宋简体"/>
          <w:snapToGrid w:val="0"/>
          <w:color w:val="000000" w:themeColor="text1"/>
          <w:spacing w:val="0"/>
          <w:kern w:val="0"/>
          <w:sz w:val="36"/>
          <w:szCs w:val="36"/>
          <w:highlight w:val="none"/>
          <w:lang w:val="en-US" w:eastAsia="zh-CN"/>
          <w14:textFill>
            <w14:solidFill>
              <w14:schemeClr w14:val="tx1"/>
            </w14:solidFill>
          </w14:textFill>
        </w:rPr>
        <w:t>关于印发《中国建筑装饰协会中国建筑工程装饰奖评选办法（试行）》（2025年修订）的通知</w:t>
      </w:r>
    </w:p>
    <w:p w14:paraId="62FCAE83">
      <w:pPr>
        <w:pStyle w:val="24"/>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val="0"/>
          <w:color w:val="000000" w:themeColor="text1"/>
          <w:spacing w:val="0"/>
          <w:kern w:val="0"/>
          <w:sz w:val="32"/>
          <w:szCs w:val="32"/>
          <w:lang w:val="en-US" w:eastAsia="en-US" w:bidi="ar-SA"/>
          <w14:textFill>
            <w14:solidFill>
              <w14:schemeClr w14:val="tx1"/>
            </w14:solidFill>
          </w14:textFill>
        </w:rPr>
      </w:pPr>
    </w:p>
    <w:p w14:paraId="42A1388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bCs w:val="0"/>
          <w:color w:val="000000" w:themeColor="text1"/>
          <w:spacing w:val="0"/>
          <w:kern w:val="0"/>
          <w:sz w:val="32"/>
          <w:szCs w:val="32"/>
          <w:lang w:val="en-US" w:eastAsia="en-US"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0"/>
          <w:sz w:val="32"/>
          <w:szCs w:val="32"/>
          <w:lang w:val="en-US" w:eastAsia="en-US" w:bidi="ar-SA"/>
          <w14:textFill>
            <w14:solidFill>
              <w14:schemeClr w14:val="tx1"/>
            </w14:solidFill>
          </w14:textFill>
        </w:rPr>
        <w:t>各省、自治区、直辖市建筑装饰协会（分会），新疆生产建设兵团建筑业协会，各会员企业、有关单位：</w:t>
      </w:r>
    </w:p>
    <w:p w14:paraId="2BEAAEA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t>根据民政部、中央社会工作部有关评比表彰工作部署，我会对《中国建筑工程装饰奖评选办法》（2023版）部分条文进行了修订。现将《中国建筑装饰协会中国建筑工程装饰奖评选办法（试行）》(2025年修订)予以印发。</w:t>
      </w:r>
    </w:p>
    <w:p w14:paraId="6D23614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p>
    <w:p w14:paraId="15D97B7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t>附件：中国建筑装饰协会中国建筑工程装饰奖评选办法（试行）</w:t>
      </w:r>
    </w:p>
    <w:p w14:paraId="06B5941B">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p>
    <w:p w14:paraId="4A47432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p>
    <w:p w14:paraId="5313F8C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p>
    <w:p w14:paraId="670CDA23">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default"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t xml:space="preserve">中国建筑装饰协会      </w:t>
      </w:r>
    </w:p>
    <w:p w14:paraId="3AF07DC3">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default"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t xml:space="preserve">2025年8月5日      </w:t>
      </w:r>
    </w:p>
    <w:p w14:paraId="1AC9326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bCs w:val="0"/>
          <w:color w:val="000000" w:themeColor="text1"/>
          <w:spacing w:val="0"/>
          <w:kern w:val="0"/>
          <w:sz w:val="15"/>
          <w:szCs w:val="15"/>
          <w:lang w:val="en-US" w:eastAsia="zh-CN" w:bidi="ar-SA"/>
          <w14:textFill>
            <w14:solidFill>
              <w14:schemeClr w14:val="tx1"/>
            </w14:solidFill>
          </w14:textFill>
        </w:rPr>
      </w:pPr>
    </w:p>
    <w:p w14:paraId="186F09B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sectPr>
          <w:headerReference r:id="rId3" w:type="default"/>
          <w:footerReference r:id="rId4" w:type="default"/>
          <w:pgSz w:w="11906" w:h="16838"/>
          <w:pgMar w:top="3628" w:right="1247" w:bottom="1701" w:left="1587" w:header="851" w:footer="992" w:gutter="0"/>
          <w:pgNumType w:fmt="numberInDash"/>
          <w:cols w:space="720" w:num="1"/>
          <w:rtlGutter w:val="0"/>
          <w:docGrid w:type="lines" w:linePitch="312" w:charSpace="0"/>
        </w:sectPr>
      </w:pPr>
    </w:p>
    <w:p w14:paraId="1A5A2F31">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right="0" w:firstLine="0"/>
        <w:jc w:val="both"/>
        <w:textAlignment w:val="auto"/>
        <w:rPr>
          <w:rFonts w:hint="eastAsia" w:ascii="黑体" w:hAnsi="黑体" w:eastAsia="黑体" w:cs="黑体"/>
          <w:snapToGrid w:val="0"/>
          <w:color w:val="000000" w:themeColor="text1"/>
          <w:spacing w:val="0"/>
          <w:kern w:val="0"/>
          <w:sz w:val="32"/>
          <w:szCs w:val="32"/>
          <w:highlight w:val="none"/>
          <w:lang w:val="en-US" w:eastAsia="zh-CN"/>
          <w14:textFill>
            <w14:solidFill>
              <w14:schemeClr w14:val="tx1"/>
            </w14:solidFill>
          </w14:textFill>
        </w:rPr>
      </w:pPr>
      <w:r>
        <w:rPr>
          <w:rFonts w:hint="eastAsia" w:ascii="黑体" w:hAnsi="黑体" w:eastAsia="黑体" w:cs="黑体"/>
          <w:snapToGrid w:val="0"/>
          <w:color w:val="000000" w:themeColor="text1"/>
          <w:spacing w:val="0"/>
          <w:kern w:val="0"/>
          <w:sz w:val="32"/>
          <w:szCs w:val="32"/>
          <w:highlight w:val="none"/>
          <w:lang w:val="en-US" w:eastAsia="zh-CN"/>
          <w14:textFill>
            <w14:solidFill>
              <w14:schemeClr w14:val="tx1"/>
            </w14:solidFill>
          </w14:textFill>
        </w:rPr>
        <w:t>附件</w:t>
      </w:r>
    </w:p>
    <w:p w14:paraId="4C447168">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right="0" w:firstLine="0"/>
        <w:jc w:val="center"/>
        <w:textAlignment w:val="auto"/>
        <w:rPr>
          <w:rFonts w:hint="eastAsia" w:ascii="方正小标宋简体" w:hAnsi="方正小标宋简体" w:eastAsia="方正小标宋简体" w:cs="方正小标宋简体"/>
          <w:snapToGrid w:val="0"/>
          <w:color w:val="000000" w:themeColor="text1"/>
          <w:spacing w:val="0"/>
          <w:kern w:val="0"/>
          <w:sz w:val="36"/>
          <w:szCs w:val="36"/>
          <w:highlight w:val="none"/>
          <w:lang w:val="en-US" w:eastAsia="zh-CN"/>
          <w14:textFill>
            <w14:solidFill>
              <w14:schemeClr w14:val="tx1"/>
            </w14:solidFill>
          </w14:textFill>
        </w:rPr>
      </w:pPr>
      <w:r>
        <w:rPr>
          <w:rFonts w:hint="eastAsia" w:ascii="方正小标宋简体" w:hAnsi="方正小标宋简体" w:eastAsia="方正小标宋简体" w:cs="方正小标宋简体"/>
          <w:snapToGrid w:val="0"/>
          <w:color w:val="000000" w:themeColor="text1"/>
          <w:spacing w:val="0"/>
          <w:kern w:val="0"/>
          <w:sz w:val="36"/>
          <w:szCs w:val="36"/>
          <w:highlight w:val="none"/>
          <w:lang w:val="en-US" w:eastAsia="zh-CN"/>
          <w14:textFill>
            <w14:solidFill>
              <w14:schemeClr w14:val="tx1"/>
            </w14:solidFill>
          </w14:textFill>
        </w:rPr>
        <w:t>中国建筑装饰协会中国建筑工程装饰奖</w:t>
      </w:r>
    </w:p>
    <w:p w14:paraId="3B1D0437">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right="0" w:firstLine="0"/>
        <w:jc w:val="center"/>
        <w:textAlignment w:val="auto"/>
        <w:rPr>
          <w:rFonts w:hint="eastAsia" w:ascii="方正小标宋简体" w:hAnsi="方正小标宋简体" w:eastAsia="方正小标宋简体" w:cs="方正小标宋简体"/>
          <w:snapToGrid w:val="0"/>
          <w:color w:val="000000" w:themeColor="text1"/>
          <w:spacing w:val="0"/>
          <w:kern w:val="0"/>
          <w:sz w:val="36"/>
          <w:szCs w:val="36"/>
          <w:highlight w:val="none"/>
          <w:lang w:val="en-US" w:eastAsia="zh-CN"/>
          <w14:textFill>
            <w14:solidFill>
              <w14:schemeClr w14:val="tx1"/>
            </w14:solidFill>
          </w14:textFill>
        </w:rPr>
      </w:pPr>
      <w:r>
        <w:rPr>
          <w:rFonts w:hint="eastAsia" w:ascii="方正小标宋简体" w:hAnsi="方正小标宋简体" w:eastAsia="方正小标宋简体" w:cs="方正小标宋简体"/>
          <w:snapToGrid w:val="0"/>
          <w:color w:val="000000" w:themeColor="text1"/>
          <w:spacing w:val="0"/>
          <w:kern w:val="0"/>
          <w:sz w:val="36"/>
          <w:szCs w:val="36"/>
          <w:highlight w:val="none"/>
          <w:lang w:val="en-US" w:eastAsia="zh-CN"/>
          <w14:textFill>
            <w14:solidFill>
              <w14:schemeClr w14:val="tx1"/>
            </w14:solidFill>
          </w14:textFill>
        </w:rPr>
        <w:t>评选办法（试行）</w:t>
      </w:r>
    </w:p>
    <w:p w14:paraId="576AF2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b w:val="0"/>
          <w:bCs w:val="0"/>
          <w:color w:val="000000" w:themeColor="text1"/>
          <w:spacing w:val="0"/>
          <w:kern w:val="0"/>
          <w:sz w:val="32"/>
          <w:szCs w:val="32"/>
          <w:lang w:val="en-US" w:eastAsia="zh-CN" w:bidi="ar-SA"/>
          <w14:textFill>
            <w14:solidFill>
              <w14:schemeClr w14:val="tx1"/>
            </w14:solidFill>
          </w14:textFill>
        </w:rPr>
      </w:pPr>
      <w:r>
        <w:rPr>
          <w:rFonts w:hint="eastAsia" w:ascii="楷体_GB2312" w:hAnsi="楷体_GB2312" w:eastAsia="楷体_GB2312" w:cs="楷体_GB2312"/>
          <w:b w:val="0"/>
          <w:bCs w:val="0"/>
          <w:color w:val="000000" w:themeColor="text1"/>
          <w:spacing w:val="0"/>
          <w:kern w:val="0"/>
          <w:sz w:val="32"/>
          <w:szCs w:val="32"/>
          <w:lang w:val="en-US" w:eastAsia="zh-CN" w:bidi="ar-SA"/>
          <w14:textFill>
            <w14:solidFill>
              <w14:schemeClr w14:val="tx1"/>
            </w14:solidFill>
          </w14:textFill>
        </w:rPr>
        <w:t>（2025年修订）</w:t>
      </w:r>
    </w:p>
    <w:p w14:paraId="7ABA56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p>
    <w:p w14:paraId="3B625238">
      <w:pPr>
        <w:keepNext w:val="0"/>
        <w:keepLines w:val="0"/>
        <w:pageBreakBefore w:val="0"/>
        <w:widowControl w:val="0"/>
        <w:kinsoku/>
        <w:wordWrap/>
        <w:overflowPunct/>
        <w:topLinePunct w:val="0"/>
        <w:bidi w:val="0"/>
        <w:snapToGrid/>
        <w:spacing w:line="240" w:lineRule="auto"/>
        <w:jc w:val="center"/>
        <w:textAlignment w:val="auto"/>
        <w:outlineLvl w:val="0"/>
        <w:rPr>
          <w:rFonts w:hint="eastAsia" w:ascii="黑体" w:hAnsi="黑体" w:eastAsia="黑体" w:cs="黑体"/>
          <w:b w:val="0"/>
          <w:bCs w:val="0"/>
          <w:color w:val="000000" w:themeColor="text1"/>
          <w:spacing w:val="0"/>
          <w:kern w:val="0"/>
          <w:sz w:val="32"/>
          <w:szCs w:val="32"/>
          <w14:textFill>
            <w14:solidFill>
              <w14:schemeClr w14:val="tx1"/>
            </w14:solidFill>
          </w14:textFill>
        </w:rPr>
      </w:pPr>
      <w:bookmarkStart w:id="0" w:name="_Toc21048"/>
      <w:bookmarkStart w:id="1" w:name="_Toc4402"/>
      <w:r>
        <w:rPr>
          <w:rFonts w:hint="eastAsia" w:ascii="黑体" w:hAnsi="黑体" w:eastAsia="黑体" w:cs="黑体"/>
          <w:b w:val="0"/>
          <w:bCs w:val="0"/>
          <w:color w:val="000000" w:themeColor="text1"/>
          <w:spacing w:val="0"/>
          <w:kern w:val="0"/>
          <w:sz w:val="32"/>
          <w:szCs w:val="32"/>
          <w14:textFill>
            <w14:solidFill>
              <w14:schemeClr w14:val="tx1"/>
            </w14:solidFill>
          </w14:textFill>
        </w:rPr>
        <w:t>第一章  总则</w:t>
      </w:r>
      <w:bookmarkEnd w:id="0"/>
      <w:bookmarkEnd w:id="1"/>
    </w:p>
    <w:p w14:paraId="3EF16E14">
      <w:pPr>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仿宋_GB2312" w:hAnsi="仿宋_GB2312" w:eastAsia="仿宋_GB2312" w:cs="仿宋_GB2312"/>
          <w:color w:val="000000" w:themeColor="text1"/>
          <w:spacing w:val="0"/>
          <w:kern w:val="0"/>
          <w:sz w:val="32"/>
          <w:szCs w:val="32"/>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第一条</w:t>
      </w:r>
      <w:r>
        <w:rPr>
          <w:rFonts w:hint="eastAsia" w:ascii="仿宋_GB2312" w:hAnsi="仿宋_GB2312" w:eastAsia="仿宋_GB2312" w:cs="仿宋_GB2312"/>
          <w:b/>
          <w:bCs/>
          <w:color w:val="000000" w:themeColor="text1"/>
          <w:spacing w:val="0"/>
          <w:kern w:val="0"/>
          <w:sz w:val="32"/>
          <w:szCs w:val="32"/>
          <w14:textFill>
            <w14:solidFill>
              <w14:schemeClr w14:val="tx1"/>
            </w14:solidFill>
          </w14:textFill>
        </w:rPr>
        <w:t xml:space="preserve">  </w:t>
      </w:r>
      <w:r>
        <w:rPr>
          <w:rFonts w:hint="eastAsia" w:ascii="仿宋_GB2312" w:hAnsi="仿宋_GB2312" w:eastAsia="仿宋_GB2312" w:cs="仿宋_GB2312"/>
          <w:color w:val="000000" w:themeColor="text1"/>
          <w:spacing w:val="0"/>
          <w:kern w:val="0"/>
          <w:sz w:val="32"/>
          <w:szCs w:val="32"/>
          <w14:textFill>
            <w14:solidFill>
              <w14:schemeClr w14:val="tx1"/>
            </w14:solidFill>
          </w14:textFill>
        </w:rPr>
        <w:t>为全面贯彻落实国家高质量发展战略，进一步提高全国建筑装饰行业整体设计、施工水平，加强中国建筑装饰协会中国建筑工程装饰奖（以下简称“装饰奖”）在提高建筑装饰装修工程质量方面的引领和激励作用,制定本办法。</w:t>
      </w:r>
    </w:p>
    <w:p w14:paraId="6186626B">
      <w:pPr>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仿宋_GB2312" w:hAnsi="仿宋_GB2312" w:eastAsia="仿宋_GB2312" w:cs="仿宋_GB2312"/>
          <w:color w:val="000000" w:themeColor="text1"/>
          <w:spacing w:val="0"/>
          <w:kern w:val="0"/>
          <w:sz w:val="32"/>
          <w:szCs w:val="32"/>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14:textFill>
            <w14:solidFill>
              <w14:schemeClr w14:val="tx1"/>
            </w14:solidFill>
          </w14:textFill>
        </w:rPr>
        <w:t>装饰奖是全国建筑装饰行业最高质量奖。根据民政部办公厅、中央社会工作部办公厅《关于规范开展相关评比表彰项目事项的通知》规定</w:t>
      </w:r>
      <w:r>
        <w:rPr>
          <w:rFonts w:hint="eastAsia" w:ascii="仿宋_GB2312" w:hAnsi="仿宋_GB2312" w:eastAsia="仿宋_GB2312" w:cs="仿宋_GB2312"/>
          <w:color w:val="000000" w:themeColor="text1"/>
          <w:spacing w:val="0"/>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spacing w:val="0"/>
          <w:kern w:val="0"/>
          <w:sz w:val="32"/>
          <w:szCs w:val="32"/>
          <w14:textFill>
            <w14:solidFill>
              <w14:schemeClr w14:val="tx1"/>
            </w14:solidFill>
          </w14:textFill>
        </w:rPr>
        <w:t>评选工作由中国建筑装饰协会(以下简称“中装协”)组织实施。</w:t>
      </w:r>
    </w:p>
    <w:p w14:paraId="6F2DDFFC">
      <w:pPr>
        <w:pStyle w:val="7"/>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lang w:val="en-US" w:eastAsia="zh-CN" w:bidi="ar-SA"/>
          <w14:textFill>
            <w14:solidFill>
              <w14:schemeClr w14:val="tx1"/>
            </w14:solidFill>
          </w14:textFill>
        </w:rPr>
        <w:t>第二条</w:t>
      </w:r>
      <w:r>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t xml:space="preserve">  申报装饰奖的建筑装饰装修工程应符合国家相关标准和规范要求，手续及资料完备，设计创意和施工工艺完美结合，工程质量和装饰装修效果达到国内领先水平。</w:t>
      </w:r>
    </w:p>
    <w:p w14:paraId="4FF23712">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第三条</w:t>
      </w:r>
      <w:r>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t xml:space="preserve">  装饰奖包括公共建筑装饰类、建筑幕墙类和住宅类。</w:t>
      </w:r>
    </w:p>
    <w:p w14:paraId="7666045B">
      <w:pPr>
        <w:pStyle w:val="7"/>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lang w:val="en-US" w:eastAsia="zh-CN" w:bidi="ar-SA"/>
          <w14:textFill>
            <w14:solidFill>
              <w14:schemeClr w14:val="tx1"/>
            </w14:solidFill>
          </w14:textFill>
        </w:rPr>
        <w:t>第四条</w:t>
      </w:r>
      <w:r>
        <w:rPr>
          <w:rFonts w:hint="eastAsia" w:ascii="仿宋_GB2312" w:hAnsi="仿宋_GB2312" w:eastAsia="仿宋_GB2312" w:cs="仿宋_GB2312"/>
          <w:b w:val="0"/>
          <w:bCs w:val="0"/>
          <w:color w:val="000000" w:themeColor="text1"/>
          <w:spacing w:val="0"/>
          <w:kern w:val="0"/>
          <w:sz w:val="32"/>
          <w:szCs w:val="32"/>
          <w:lang w:val="en-US" w:eastAsia="zh-CN" w:bidi="ar-SA"/>
          <w14:textFill>
            <w14:solidFill>
              <w14:schemeClr w14:val="tx1"/>
            </w14:solidFill>
          </w14:textFill>
        </w:rPr>
        <w:t xml:space="preserve">  根据民政部办公厅、中央社会工作部办公厅《关于规范开展相关评比表彰项目事项的通知》规定，装饰奖活动周期为5年，评选总额为300项。装饰奖评选工作实行企业自愿申报，各省、自治区、直辖市建筑装饰协会（分会）择优推荐的基本原则。国家大型重点建设项目可直接向中装协申报，由中装协统一</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组织评选；鼓励欠发达地区及中小企业申报装饰奖；装饰奖申报和评选不收取任何费用。</w:t>
      </w:r>
    </w:p>
    <w:p w14:paraId="43F99769">
      <w:pPr>
        <w:keepNext w:val="0"/>
        <w:keepLines w:val="0"/>
        <w:pageBreakBefore w:val="0"/>
        <w:widowControl w:val="0"/>
        <w:kinsoku/>
        <w:wordWrap/>
        <w:overflowPunct/>
        <w:topLinePunct w:val="0"/>
        <w:bidi w:val="0"/>
        <w:snapToGrid/>
        <w:spacing w:line="240" w:lineRule="auto"/>
        <w:jc w:val="center"/>
        <w:textAlignment w:val="auto"/>
        <w:outlineLvl w:val="0"/>
        <w:rPr>
          <w:rFonts w:hint="eastAsia" w:ascii="黑体" w:hAnsi="黑体" w:eastAsia="黑体" w:cs="黑体"/>
          <w:b w:val="0"/>
          <w:bCs w:val="0"/>
          <w:color w:val="000000" w:themeColor="text1"/>
          <w:spacing w:val="0"/>
          <w:kern w:val="0"/>
          <w:sz w:val="32"/>
          <w:szCs w:val="32"/>
          <w14:textFill>
            <w14:solidFill>
              <w14:schemeClr w14:val="tx1"/>
            </w14:solidFill>
          </w14:textFill>
        </w:rPr>
      </w:pPr>
      <w:bookmarkStart w:id="2" w:name="_Toc1021"/>
      <w:bookmarkStart w:id="3" w:name="_Toc17064"/>
      <w:r>
        <w:rPr>
          <w:rFonts w:hint="eastAsia" w:ascii="黑体" w:hAnsi="黑体" w:eastAsia="黑体" w:cs="黑体"/>
          <w:b w:val="0"/>
          <w:bCs w:val="0"/>
          <w:color w:val="000000" w:themeColor="text1"/>
          <w:spacing w:val="0"/>
          <w:kern w:val="0"/>
          <w:sz w:val="32"/>
          <w:szCs w:val="32"/>
          <w14:textFill>
            <w14:solidFill>
              <w14:schemeClr w14:val="tx1"/>
            </w14:solidFill>
          </w14:textFill>
        </w:rPr>
        <w:t>第二章  申报范围和要求</w:t>
      </w:r>
      <w:bookmarkEnd w:id="2"/>
      <w:bookmarkEnd w:id="3"/>
    </w:p>
    <w:p w14:paraId="4D25E331">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第五条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装饰奖申报范围：</w:t>
      </w:r>
    </w:p>
    <w:p w14:paraId="38B42918">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（一）公共建筑装饰类（含承建和参建）：工程合同金额或结算金额不低于1000万元（不含设备购置及安装费用）且装饰面积不低于2000㎡。公共建筑装饰设计按细则要求执行。</w:t>
      </w:r>
    </w:p>
    <w:p w14:paraId="1BFFE95B">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二）建筑幕墙类（含承建和参建）：工程合同金额或结算金额不低于1500万元（不含设备购置及安装费用）且幕墙面积不低于15000㎡，建筑幕墙面积应大于立面外围护结构面积的60%。建筑幕墙设计按细则要求执行。</w:t>
      </w:r>
    </w:p>
    <w:p w14:paraId="268D5433">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（三）住宅类：工程合同金额或结算金额不低于1000万元（不含家电和活动家具）且装饰面积不低于2000㎡。</w:t>
      </w:r>
    </w:p>
    <w:p w14:paraId="45F7CF47">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第六条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申报的建筑装饰工程须通过竣工验收备案，经过一年以上使用，且未发现质量缺陷或安全隐患，施工过程无质量和安全事故。境外建筑装饰工程应符合工程所在国（地区）的有关质量安全方面的标准规范和相关法规，并取得相应的合规批准文件及验收证明，且达到我国质量标准。</w:t>
      </w:r>
    </w:p>
    <w:p w14:paraId="43DD9EB9">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第七条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积极开展科技创新，推行绿色建造和智能建造；积极采用新技术、新工艺、新材料、新设备。</w:t>
      </w:r>
    </w:p>
    <w:p w14:paraId="6271B8C0">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第八条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申报的建筑装饰工程所使用的各种建筑装饰材料应符合国家及行业标准，满足环境质量及节能的要求，提供的检测及复验报告应符合相关规定。</w:t>
      </w:r>
    </w:p>
    <w:p w14:paraId="1D55E2CE">
      <w:pPr>
        <w:keepNext w:val="0"/>
        <w:keepLines w:val="0"/>
        <w:pageBreakBefore w:val="0"/>
        <w:widowControl w:val="0"/>
        <w:kinsoku/>
        <w:wordWrap/>
        <w:overflowPunct/>
        <w:topLinePunct w:val="0"/>
        <w:bidi w:val="0"/>
        <w:snapToGrid/>
        <w:spacing w:line="240" w:lineRule="auto"/>
        <w:ind w:right="-168" w:rightChars="-80"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第九条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申</w:t>
      </w:r>
      <w:r>
        <w:rPr>
          <w:rFonts w:hint="eastAsia" w:ascii="仿宋_GB2312" w:hAnsi="仿宋_GB2312" w:eastAsia="仿宋_GB2312" w:cs="仿宋_GB2312"/>
          <w:color w:val="000000" w:themeColor="text1"/>
          <w:spacing w:val="-6"/>
          <w:kern w:val="0"/>
          <w:sz w:val="32"/>
          <w:szCs w:val="32"/>
          <w:lang w:val="en-US" w:eastAsia="zh-CN" w:bidi="ar-SA"/>
          <w14:textFill>
            <w14:solidFill>
              <w14:schemeClr w14:val="tx1"/>
            </w14:solidFill>
          </w14:textFill>
        </w:rPr>
        <w:t>报的建筑装饰工程应符合国家节能减排的相关标准。</w:t>
      </w:r>
    </w:p>
    <w:p w14:paraId="3DEE81C9">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第十条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申报单位应具有政府主管部门颁发的相应资质证书，且与有关单位签订有效的建筑装饰工程合同。</w:t>
      </w:r>
    </w:p>
    <w:p w14:paraId="69F2B78F">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第十一条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申报项目须为申报单位自行设计或施工的项目且过程资料以申报单位的名义编写组卷。</w:t>
      </w:r>
    </w:p>
    <w:p w14:paraId="2FD6EFD4">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bookmarkStart w:id="4" w:name="_Hlk160536505"/>
      <w:r>
        <w:rPr>
          <w:rFonts w:hint="eastAsia" w:ascii="黑体" w:hAnsi="黑体" w:eastAsia="黑体" w:cs="黑体"/>
          <w:b w:val="0"/>
          <w:bCs w:val="0"/>
          <w:color w:val="000000" w:themeColor="text1"/>
          <w:spacing w:val="0"/>
          <w:kern w:val="0"/>
          <w:sz w:val="32"/>
          <w:szCs w:val="32"/>
          <w14:textFill>
            <w14:solidFill>
              <w14:schemeClr w14:val="tx1"/>
            </w14:solidFill>
          </w14:textFill>
        </w:rPr>
        <w:t>第十二条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多家单位参与申报的工程，施工规模最大的一家为承建单位，其余为参建单位。承建及参建单位均需单独填报申报资料。</w:t>
      </w:r>
    </w:p>
    <w:p w14:paraId="73D62CF3">
      <w:pPr>
        <w:pStyle w:val="7"/>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lang w:val="en-US" w:eastAsia="zh-CN" w:bidi="ar-SA"/>
          <w14:textFill>
            <w14:solidFill>
              <w14:schemeClr w14:val="tx1"/>
            </w14:solidFill>
          </w14:textFill>
        </w:rPr>
        <w:t>第十三条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联合体承建的项</w:t>
      </w:r>
      <w:r>
        <w:rPr>
          <w:rFonts w:hint="eastAsia" w:ascii="仿宋_GB2312" w:hAnsi="仿宋_GB2312" w:eastAsia="仿宋_GB2312" w:cs="仿宋_GB2312"/>
          <w:color w:val="000000" w:themeColor="text1"/>
          <w:spacing w:val="6"/>
          <w:kern w:val="0"/>
          <w:sz w:val="32"/>
          <w:szCs w:val="32"/>
          <w:lang w:val="en-US" w:eastAsia="zh-CN" w:bidi="ar-SA"/>
          <w14:textFill>
            <w14:solidFill>
              <w14:schemeClr w14:val="tx1"/>
            </w14:solidFill>
          </w14:textFill>
        </w:rPr>
        <w:t>目，可由其中负责建筑装饰施工的单位独立申报，但需提供联合体其他成员同意的书面材料，且在联合体协议中明确装饰单位的名称、施工内容、造价及施工面积。</w:t>
      </w:r>
    </w:p>
    <w:p w14:paraId="5664AC3C">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第十四条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申报工程为总承包工程中的专业分包项目，申报单位可以使用与总承包单位之间的招投标资料及总承包单位的施工许可证、消防验收报告、竣工备案证明等必要文件。</w:t>
      </w:r>
    </w:p>
    <w:p w14:paraId="59E9D0A1">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第十五条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下列建筑装饰工程不列入申报</w:t>
      </w:r>
      <w:bookmarkStart w:id="5" w:name="_Hlk160536635"/>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评选</w:t>
      </w:r>
      <w:bookmarkEnd w:id="5"/>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范围：</w:t>
      </w:r>
    </w:p>
    <w:p w14:paraId="10BAFC03">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（一）竣工后无法进行现场检查的工程；</w:t>
      </w:r>
    </w:p>
    <w:bookmarkEnd w:id="4"/>
    <w:p w14:paraId="370DB743">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（二）已申报过装饰奖而未评上的工程；</w:t>
      </w:r>
    </w:p>
    <w:p w14:paraId="0515967A">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（三）发生质量安全责任事故的工程；</w:t>
      </w:r>
    </w:p>
    <w:p w14:paraId="1160CF91">
      <w:pPr>
        <w:keepNext w:val="0"/>
        <w:keepLines w:val="0"/>
        <w:pageBreakBefore w:val="0"/>
        <w:widowControl w:val="0"/>
        <w:kinsoku/>
        <w:wordWrap/>
        <w:overflowPunct/>
        <w:topLinePunct w:val="0"/>
        <w:bidi w:val="0"/>
        <w:snapToGrid/>
        <w:spacing w:line="240" w:lineRule="auto"/>
        <w:ind w:right="-313" w:rightChars="-149" w:firstLine="640" w:firstLineChars="200"/>
        <w:textAlignment w:val="auto"/>
        <w:rPr>
          <w:rFonts w:hint="eastAsia" w:ascii="方正仿宋_GB2312" w:hAnsi="方正仿宋_GB2312" w:eastAsia="方正仿宋_GB2312" w:cs="方正仿宋_GB2312"/>
          <w:color w:val="000000" w:themeColor="text1"/>
          <w:spacing w:val="0"/>
          <w:kern w:val="0"/>
          <w:sz w:val="32"/>
          <w:szCs w:val="32"/>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（四）拖欠农民工工资被依法处罚的工程。</w:t>
      </w:r>
    </w:p>
    <w:p w14:paraId="51D92705">
      <w:pPr>
        <w:keepNext w:val="0"/>
        <w:keepLines w:val="0"/>
        <w:pageBreakBefore w:val="0"/>
        <w:widowControl w:val="0"/>
        <w:kinsoku/>
        <w:wordWrap/>
        <w:overflowPunct/>
        <w:topLinePunct w:val="0"/>
        <w:bidi w:val="0"/>
        <w:snapToGrid/>
        <w:spacing w:line="240" w:lineRule="auto"/>
        <w:jc w:val="center"/>
        <w:textAlignment w:val="auto"/>
        <w:outlineLvl w:val="0"/>
        <w:rPr>
          <w:rFonts w:hint="eastAsia" w:ascii="黑体" w:hAnsi="黑体" w:eastAsia="黑体" w:cs="黑体"/>
          <w:b w:val="0"/>
          <w:bCs w:val="0"/>
          <w:color w:val="000000" w:themeColor="text1"/>
          <w:spacing w:val="0"/>
          <w:kern w:val="0"/>
          <w:sz w:val="32"/>
          <w:szCs w:val="32"/>
          <w14:textFill>
            <w14:solidFill>
              <w14:schemeClr w14:val="tx1"/>
            </w14:solidFill>
          </w14:textFill>
        </w:rPr>
      </w:pPr>
      <w:bookmarkStart w:id="6" w:name="_Toc32428"/>
      <w:bookmarkStart w:id="7" w:name="_Toc4217"/>
      <w:r>
        <w:rPr>
          <w:rFonts w:hint="eastAsia" w:ascii="黑体" w:hAnsi="黑体" w:eastAsia="黑体" w:cs="黑体"/>
          <w:b w:val="0"/>
          <w:bCs w:val="0"/>
          <w:color w:val="000000" w:themeColor="text1"/>
          <w:spacing w:val="0"/>
          <w:kern w:val="0"/>
          <w:sz w:val="32"/>
          <w:szCs w:val="32"/>
          <w14:textFill>
            <w14:solidFill>
              <w14:schemeClr w14:val="tx1"/>
            </w14:solidFill>
          </w14:textFill>
        </w:rPr>
        <w:t>第三章  申报程序和资料要求</w:t>
      </w:r>
      <w:bookmarkEnd w:id="6"/>
      <w:bookmarkEnd w:id="7"/>
    </w:p>
    <w:p w14:paraId="62E7410B">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第十六条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装饰奖的申报程序：</w:t>
      </w:r>
    </w:p>
    <w:p w14:paraId="5F8A48C3">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（一）符合装饰奖申报范围和要求的工程项目，由申报单位统一从中国建筑装饰协会官网下载装饰奖申报表，在规定的时间内向工程所在地的省、自治区、直辖市建筑装饰协会（分会）进行申报。</w:t>
      </w:r>
    </w:p>
    <w:p w14:paraId="11BBFB4A">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（二）各省、自治区、直辖市建筑装饰协会（分会）负责对申报资料进行初审，出具正式推荐文件，并将所有申报资料报送中装协装饰奖办公室。</w:t>
      </w:r>
    </w:p>
    <w:p w14:paraId="75D4417E">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（三）符合装饰奖申报条件的境外项目，申报单位填写申报表后直接报送中装协装饰奖办公室。</w:t>
      </w:r>
    </w:p>
    <w:p w14:paraId="5B3AE81E">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第十七条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装饰奖的申报资料要求：</w:t>
      </w:r>
    </w:p>
    <w:p w14:paraId="3A731D1B">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申报单位提供的资料分为纸质版资料和电子版资料两部分，具体要求见工作通知。</w:t>
      </w:r>
    </w:p>
    <w:p w14:paraId="6AB5B666">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第十八条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所有申报资料概不退还，各申报单位将原件自行留底，以备工程复查时查验。申报单位对所提供的所有资料的真实性、合法性、有效性负责。</w:t>
      </w:r>
    </w:p>
    <w:p w14:paraId="7F3F6B42">
      <w:pPr>
        <w:keepNext w:val="0"/>
        <w:keepLines w:val="0"/>
        <w:pageBreakBefore w:val="0"/>
        <w:widowControl w:val="0"/>
        <w:kinsoku/>
        <w:wordWrap/>
        <w:overflowPunct/>
        <w:topLinePunct w:val="0"/>
        <w:bidi w:val="0"/>
        <w:snapToGrid/>
        <w:spacing w:line="240" w:lineRule="auto"/>
        <w:jc w:val="center"/>
        <w:textAlignment w:val="auto"/>
        <w:outlineLvl w:val="0"/>
        <w:rPr>
          <w:rFonts w:hint="eastAsia" w:ascii="黑体" w:hAnsi="黑体" w:eastAsia="黑体" w:cs="黑体"/>
          <w:b w:val="0"/>
          <w:bCs w:val="0"/>
          <w:color w:val="000000" w:themeColor="text1"/>
          <w:spacing w:val="0"/>
          <w:kern w:val="0"/>
          <w:sz w:val="32"/>
          <w:szCs w:val="32"/>
          <w14:textFill>
            <w14:solidFill>
              <w14:schemeClr w14:val="tx1"/>
            </w14:solidFill>
          </w14:textFill>
        </w:rPr>
      </w:pPr>
      <w:bookmarkStart w:id="8" w:name="_Toc12076"/>
      <w:bookmarkStart w:id="9" w:name="_Toc31260"/>
      <w:r>
        <w:rPr>
          <w:rFonts w:hint="eastAsia" w:ascii="黑体" w:hAnsi="黑体" w:eastAsia="黑体" w:cs="黑体"/>
          <w:b w:val="0"/>
          <w:bCs w:val="0"/>
          <w:color w:val="000000" w:themeColor="text1"/>
          <w:spacing w:val="0"/>
          <w:kern w:val="0"/>
          <w:sz w:val="32"/>
          <w:szCs w:val="32"/>
          <w14:textFill>
            <w14:solidFill>
              <w14:schemeClr w14:val="tx1"/>
            </w14:solidFill>
          </w14:textFill>
        </w:rPr>
        <w:t xml:space="preserve">第四章 </w:t>
      </w:r>
      <w:r>
        <w:rPr>
          <w:rFonts w:hint="eastAsia" w:ascii="黑体" w:hAnsi="黑体" w:eastAsia="黑体" w:cs="黑体"/>
          <w:b w:val="0"/>
          <w:bCs w:val="0"/>
          <w:color w:val="000000" w:themeColor="text1"/>
          <w:spacing w:val="0"/>
          <w:kern w:val="0"/>
          <w:sz w:val="32"/>
          <w:szCs w:val="32"/>
          <w:lang w:val="en-US" w:eastAsia="zh-CN"/>
          <w14:textFill>
            <w14:solidFill>
              <w14:schemeClr w14:val="tx1"/>
            </w14:solidFill>
          </w14:textFill>
        </w:rPr>
        <w:t xml:space="preserve"> </w:t>
      </w:r>
      <w:r>
        <w:rPr>
          <w:rFonts w:hint="eastAsia" w:ascii="黑体" w:hAnsi="黑体" w:eastAsia="黑体" w:cs="黑体"/>
          <w:b w:val="0"/>
          <w:bCs w:val="0"/>
          <w:color w:val="000000" w:themeColor="text1"/>
          <w:spacing w:val="0"/>
          <w:kern w:val="0"/>
          <w:sz w:val="32"/>
          <w:szCs w:val="32"/>
          <w14:textFill>
            <w14:solidFill>
              <w14:schemeClr w14:val="tx1"/>
            </w14:solidFill>
          </w14:textFill>
        </w:rPr>
        <w:t>评审</w:t>
      </w:r>
      <w:bookmarkEnd w:id="8"/>
      <w:bookmarkEnd w:id="9"/>
    </w:p>
    <w:p w14:paraId="45046BD2">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第十九条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评审工作包括初审、推荐、初评、复查和终评五个阶段。</w:t>
      </w:r>
    </w:p>
    <w:p w14:paraId="2F462396">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第二十条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中装协对通过初审推荐的项目开展初评工作，组织专家根据初评管理办法对申报材料的完整性、合规性、逻辑性、工程质量及安全等基础情况进行审核并打分排序。对通过初评的工程，组织专家开展现场复查工作。</w:t>
      </w:r>
    </w:p>
    <w:p w14:paraId="102F25CA">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第二十一条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现场复查对资料原件、工程现场进行检查，并听取业主或使用单位意见，复查专家进行现场讲评并给予相关技术指导。</w:t>
      </w:r>
    </w:p>
    <w:p w14:paraId="1B881FE3">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第二十二条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境外工程由中装协专家和申报项目所在地的专家组成专家组进行复查，申报单位须负责办理出境手续。</w:t>
      </w:r>
    </w:p>
    <w:p w14:paraId="55E01C5F">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第二十三</w:t>
      </w:r>
      <w:r>
        <w:rPr>
          <w:rFonts w:hint="eastAsia" w:ascii="黑体" w:hAnsi="黑体" w:eastAsia="黑体" w:cs="黑体"/>
          <w:b w:val="0"/>
          <w:bCs w:val="0"/>
          <w:color w:val="000000" w:themeColor="text1"/>
          <w:spacing w:val="0"/>
          <w:kern w:val="0"/>
          <w:sz w:val="32"/>
          <w:szCs w:val="32"/>
          <w:lang w:val="en-US" w:eastAsia="zh-CN"/>
          <w14:textFill>
            <w14:solidFill>
              <w14:schemeClr w14:val="tx1"/>
            </w14:solidFill>
          </w14:textFill>
        </w:rPr>
        <w:t>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中装协设立终评委员会，该委员会成员由协会领导和5-7名行业资深专家组成。实行验评分离制度，终评委员会委员不参与当年项目的复查工作。</w:t>
      </w:r>
    </w:p>
    <w:p w14:paraId="653F077D">
      <w:pPr>
        <w:pStyle w:val="7"/>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评审委员会通过听取复查组汇报、观看工程影像资料、审查申报资料、质询评议，最终以投票方式评出入选装饰工程，且同一企业作为承建单位获奖项目的数量每次不超过2项。</w:t>
      </w:r>
    </w:p>
    <w:p w14:paraId="0F6ECFFF">
      <w:pPr>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终评结果经协会会长办公会批准后，在“中国建筑装饰协会官网”及协会媒体上公示。</w:t>
      </w:r>
    </w:p>
    <w:p w14:paraId="70C6E42C">
      <w:pPr>
        <w:keepNext w:val="0"/>
        <w:keepLines w:val="0"/>
        <w:pageBreakBefore w:val="0"/>
        <w:widowControl w:val="0"/>
        <w:kinsoku/>
        <w:wordWrap/>
        <w:overflowPunct/>
        <w:topLinePunct w:val="0"/>
        <w:bidi w:val="0"/>
        <w:snapToGrid/>
        <w:spacing w:line="240" w:lineRule="auto"/>
        <w:jc w:val="center"/>
        <w:textAlignment w:val="auto"/>
        <w:outlineLvl w:val="0"/>
        <w:rPr>
          <w:rFonts w:hint="eastAsia" w:ascii="黑体" w:hAnsi="黑体" w:eastAsia="黑体" w:cs="黑体"/>
          <w:b w:val="0"/>
          <w:bCs w:val="0"/>
          <w:color w:val="000000" w:themeColor="text1"/>
          <w:spacing w:val="0"/>
          <w:kern w:val="0"/>
          <w:sz w:val="32"/>
          <w:szCs w:val="32"/>
          <w14:textFill>
            <w14:solidFill>
              <w14:schemeClr w14:val="tx1"/>
            </w14:solidFill>
          </w14:textFill>
        </w:rPr>
      </w:pPr>
      <w:bookmarkStart w:id="10" w:name="_Toc5851"/>
      <w:bookmarkStart w:id="11" w:name="_Toc21478"/>
      <w:r>
        <w:rPr>
          <w:rFonts w:hint="eastAsia" w:ascii="黑体" w:hAnsi="黑体" w:eastAsia="黑体" w:cs="黑体"/>
          <w:b w:val="0"/>
          <w:bCs w:val="0"/>
          <w:color w:val="000000" w:themeColor="text1"/>
          <w:spacing w:val="0"/>
          <w:kern w:val="0"/>
          <w:sz w:val="32"/>
          <w:szCs w:val="32"/>
          <w14:textFill>
            <w14:solidFill>
              <w14:schemeClr w14:val="tx1"/>
            </w14:solidFill>
          </w14:textFill>
        </w:rPr>
        <w:t>第五章  表彰</w:t>
      </w:r>
      <w:bookmarkEnd w:id="10"/>
      <w:bookmarkEnd w:id="11"/>
    </w:p>
    <w:p w14:paraId="4421E212">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第二十四条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中装协每5年组织召开颁奖大会，向荣获装饰奖的承建单位授予奖杯和获奖证书；向荣获装饰奖的参建单位颁发获奖证书；获奖工程的参建单位可向中装协申请颁发装饰奖奖杯作为纪念。获奖名单将以项目名称为单位公布。</w:t>
      </w:r>
    </w:p>
    <w:p w14:paraId="258E6475">
      <w:pPr>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方正仿宋_GB2312" w:hAnsi="方正仿宋_GB2312" w:eastAsia="方正仿宋_GB2312" w:cs="方正仿宋_GB2312"/>
          <w:b/>
          <w:bCs/>
          <w:color w:val="000000" w:themeColor="text1"/>
          <w:spacing w:val="0"/>
          <w:kern w:val="0"/>
          <w:sz w:val="32"/>
          <w:szCs w:val="32"/>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第二十五条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任何单位和个人不得仿制和伪造装饰奖获奖文件、奖杯和证书。若有违者，中装协将依法追究其法律责任。</w:t>
      </w:r>
    </w:p>
    <w:p w14:paraId="087B3F86">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第二十六</w:t>
      </w:r>
      <w:r>
        <w:rPr>
          <w:rFonts w:hint="eastAsia" w:ascii="黑体" w:hAnsi="黑体" w:eastAsia="黑体" w:cs="黑体"/>
          <w:b w:val="0"/>
          <w:bCs w:val="0"/>
          <w:color w:val="000000" w:themeColor="text1"/>
          <w:spacing w:val="0"/>
          <w:kern w:val="0"/>
          <w:sz w:val="32"/>
          <w:szCs w:val="32"/>
          <w:lang w:val="en-US" w:eastAsia="zh-CN"/>
          <w14:textFill>
            <w14:solidFill>
              <w14:schemeClr w14:val="tx1"/>
            </w14:solidFill>
          </w14:textFill>
        </w:rPr>
        <w:t>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各地区和获奖单位可根据本地区和本单位的实际情况，对获奖单位和个人给予奖励。</w:t>
      </w:r>
    </w:p>
    <w:p w14:paraId="2091A8B6">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第二十七条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为充分发挥装饰奖工程的示范引领作用，促进工程质量水平的提高，中装协适时开展有关活动，对创装饰奖工程经验进行交流和推广。</w:t>
      </w:r>
    </w:p>
    <w:p w14:paraId="12C58F7F">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第二十八条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若表彰奖励获得者存在严重违纪违法行为、造成恶劣影响，或隐瞒相关情况的，中装协将依据相关规定，撤销其因表彰所享有的相应待遇，并在适当范围内予以公告。</w:t>
      </w:r>
    </w:p>
    <w:p w14:paraId="61B22D0A">
      <w:pPr>
        <w:keepNext w:val="0"/>
        <w:keepLines w:val="0"/>
        <w:pageBreakBefore w:val="0"/>
        <w:widowControl w:val="0"/>
        <w:kinsoku/>
        <w:wordWrap/>
        <w:overflowPunct/>
        <w:topLinePunct w:val="0"/>
        <w:bidi w:val="0"/>
        <w:snapToGrid/>
        <w:spacing w:line="240" w:lineRule="auto"/>
        <w:jc w:val="center"/>
        <w:textAlignment w:val="auto"/>
        <w:outlineLvl w:val="0"/>
        <w:rPr>
          <w:rFonts w:hint="eastAsia" w:ascii="黑体" w:hAnsi="黑体" w:eastAsia="黑体" w:cs="黑体"/>
          <w:b w:val="0"/>
          <w:bCs w:val="0"/>
          <w:color w:val="000000" w:themeColor="text1"/>
          <w:spacing w:val="0"/>
          <w:kern w:val="0"/>
          <w:sz w:val="32"/>
          <w:szCs w:val="32"/>
          <w14:textFill>
            <w14:solidFill>
              <w14:schemeClr w14:val="tx1"/>
            </w14:solidFill>
          </w14:textFill>
        </w:rPr>
      </w:pPr>
      <w:bookmarkStart w:id="12" w:name="_Toc31448"/>
      <w:bookmarkStart w:id="13" w:name="_Toc11242"/>
      <w:r>
        <w:rPr>
          <w:rFonts w:hint="eastAsia" w:ascii="黑体" w:hAnsi="黑体" w:eastAsia="黑体" w:cs="黑体"/>
          <w:b w:val="0"/>
          <w:bCs w:val="0"/>
          <w:color w:val="000000" w:themeColor="text1"/>
          <w:spacing w:val="0"/>
          <w:kern w:val="0"/>
          <w:sz w:val="32"/>
          <w:szCs w:val="32"/>
          <w14:textFill>
            <w14:solidFill>
              <w14:schemeClr w14:val="tx1"/>
            </w14:solidFill>
          </w14:textFill>
        </w:rPr>
        <w:t>第六章  纪律</w:t>
      </w:r>
      <w:bookmarkEnd w:id="12"/>
      <w:bookmarkEnd w:id="13"/>
    </w:p>
    <w:p w14:paraId="4CEDD7FF">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第二十</w:t>
      </w:r>
      <w:r>
        <w:rPr>
          <w:rFonts w:hint="eastAsia" w:ascii="黑体" w:hAnsi="黑体" w:eastAsia="黑体" w:cs="黑体"/>
          <w:b w:val="0"/>
          <w:bCs w:val="0"/>
          <w:color w:val="000000" w:themeColor="text1"/>
          <w:spacing w:val="0"/>
          <w:kern w:val="0"/>
          <w:sz w:val="32"/>
          <w:szCs w:val="32"/>
          <w:lang w:val="en-US" w:eastAsia="zh-CN"/>
          <w14:textFill>
            <w14:solidFill>
              <w14:schemeClr w14:val="tx1"/>
            </w14:solidFill>
          </w14:textFill>
        </w:rPr>
        <w:t>九</w:t>
      </w:r>
      <w:r>
        <w:rPr>
          <w:rFonts w:hint="eastAsia" w:ascii="黑体" w:hAnsi="黑体" w:eastAsia="黑体" w:cs="黑体"/>
          <w:b w:val="0"/>
          <w:bCs w:val="0"/>
          <w:color w:val="000000" w:themeColor="text1"/>
          <w:spacing w:val="0"/>
          <w:kern w:val="0"/>
          <w:sz w:val="32"/>
          <w:szCs w:val="32"/>
          <w14:textFill>
            <w14:solidFill>
              <w14:schemeClr w14:val="tx1"/>
            </w14:solidFill>
          </w14:textFill>
        </w:rPr>
        <w:t>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为了保证评选工作的公平、公正、公开，由中装协专项工作领导小组监督指导评选工作。</w:t>
      </w:r>
    </w:p>
    <w:p w14:paraId="2363801F">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w:t>
      </w:r>
      <w:r>
        <w:rPr>
          <w:rFonts w:hint="eastAsia" w:ascii="黑体" w:hAnsi="黑体" w:eastAsia="黑体" w:cs="黑体"/>
          <w:b w:val="0"/>
          <w:bCs w:val="0"/>
          <w:color w:val="000000" w:themeColor="text1"/>
          <w:spacing w:val="0"/>
          <w:kern w:val="0"/>
          <w:sz w:val="32"/>
          <w:szCs w:val="32"/>
          <w:lang w:val="en-US" w:eastAsia="zh-CN"/>
          <w14:textFill>
            <w14:solidFill>
              <w14:schemeClr w14:val="tx1"/>
            </w14:solidFill>
          </w14:textFill>
        </w:rPr>
        <w:t>三十</w:t>
      </w:r>
      <w:r>
        <w:rPr>
          <w:rFonts w:hint="eastAsia" w:ascii="黑体" w:hAnsi="黑体" w:eastAsia="黑体" w:cs="黑体"/>
          <w:b w:val="0"/>
          <w:bCs w:val="0"/>
          <w:color w:val="000000" w:themeColor="text1"/>
          <w:spacing w:val="0"/>
          <w:kern w:val="0"/>
          <w:sz w:val="32"/>
          <w:szCs w:val="32"/>
          <w14:textFill>
            <w14:solidFill>
              <w14:schemeClr w14:val="tx1"/>
            </w14:solidFill>
          </w14:textFill>
        </w:rPr>
        <w:t>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申报单位应签署《</w:t>
      </w:r>
      <w:r>
        <w:rPr>
          <w:rFonts w:hint="eastAsia" w:ascii="仿宋_GB2312" w:hAnsi="仿宋_GB2312" w:eastAsia="仿宋_GB2312" w:cs="仿宋_GB2312"/>
          <w:color w:val="000000" w:themeColor="text1"/>
          <w:spacing w:val="0"/>
          <w:kern w:val="0"/>
          <w:sz w:val="32"/>
          <w:szCs w:val="32"/>
          <w:u w:val="none"/>
          <w:lang w:val="en-US" w:eastAsia="zh-CN" w:bidi="ar-SA"/>
          <w14:textFill>
            <w14:solidFill>
              <w14:schemeClr w14:val="tx1"/>
            </w14:solidFill>
          </w14:textFill>
        </w:rPr>
        <w:t>中国建筑装饰协会中国建筑工程装饰奖申报单位承诺书</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》，如实提供工程情况和相关资料，不得弄虚作假；应积极配合复查专家组的现场复查工作；不得向参与评审的专家及有关人员送礼。对违反的单位一经查实，取消其参评资格。</w:t>
      </w:r>
    </w:p>
    <w:p w14:paraId="42C2D4D7">
      <w:pPr>
        <w:pStyle w:val="7"/>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lang w:val="en-US" w:eastAsia="zh-CN" w:bidi="ar-SA"/>
          <w14:textFill>
            <w14:solidFill>
              <w14:schemeClr w14:val="tx1"/>
            </w14:solidFill>
          </w14:textFill>
        </w:rPr>
        <w:t>第三十一条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参加装饰奖评选及监督指导的工作人员和评审复查专家要严格遵守中装协的纪律和保密规定。对违反本办法及有关纪律规定的复查专家和评审委员，将取消其复查和评审资格，并终身不得再进入中装协专家库。以上违反者可由所在单位视情节给予行政处分。涉嫌违法犯罪的，将移送司法机关处理。</w:t>
      </w:r>
    </w:p>
    <w:p w14:paraId="133B8E4E">
      <w:pPr>
        <w:pStyle w:val="7"/>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lang w:val="en-US" w:eastAsia="zh-CN" w:bidi="ar-SA"/>
          <w14:textFill>
            <w14:solidFill>
              <w14:schemeClr w14:val="tx1"/>
            </w14:solidFill>
          </w14:textFill>
        </w:rPr>
        <w:t xml:space="preserve">第三十二条  </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复查过程中，复查组成员相互监督，并对其业务水平、工</w:t>
      </w:r>
      <w:r>
        <w:rPr>
          <w:rFonts w:hint="eastAsia" w:ascii="仿宋_GB2312" w:hAnsi="仿宋_GB2312" w:eastAsia="仿宋_GB2312" w:cs="仿宋_GB2312"/>
          <w:color w:val="000000" w:themeColor="text1"/>
          <w:spacing w:val="-6"/>
          <w:kern w:val="0"/>
          <w:sz w:val="32"/>
          <w:szCs w:val="32"/>
          <w:lang w:val="en-US" w:eastAsia="zh-CN" w:bidi="ar-SA"/>
          <w14:textFill>
            <w14:solidFill>
              <w14:schemeClr w14:val="tx1"/>
            </w14:solidFill>
          </w14:textFill>
        </w:rPr>
        <w:t>作态度和廉洁自律等方面做出客观评价并反馈至中装协。</w:t>
      </w:r>
    </w:p>
    <w:p w14:paraId="73F5B20D">
      <w:pPr>
        <w:keepNext w:val="0"/>
        <w:keepLines w:val="0"/>
        <w:pageBreakBefore w:val="0"/>
        <w:widowControl w:val="0"/>
        <w:kinsoku/>
        <w:wordWrap/>
        <w:overflowPunct/>
        <w:topLinePunct w:val="0"/>
        <w:bidi w:val="0"/>
        <w:snapToGrid/>
        <w:spacing w:line="240" w:lineRule="auto"/>
        <w:jc w:val="center"/>
        <w:textAlignment w:val="auto"/>
        <w:outlineLvl w:val="0"/>
        <w:rPr>
          <w:rFonts w:hint="eastAsia" w:ascii="黑体" w:hAnsi="黑体" w:eastAsia="黑体" w:cs="黑体"/>
          <w:b w:val="0"/>
          <w:bCs w:val="0"/>
          <w:color w:val="000000" w:themeColor="text1"/>
          <w:spacing w:val="0"/>
          <w:kern w:val="0"/>
          <w:sz w:val="32"/>
          <w:szCs w:val="32"/>
          <w14:textFill>
            <w14:solidFill>
              <w14:schemeClr w14:val="tx1"/>
            </w14:solidFill>
          </w14:textFill>
        </w:rPr>
      </w:pPr>
      <w:bookmarkStart w:id="14" w:name="_Toc18490"/>
      <w:bookmarkStart w:id="15" w:name="_Toc2728"/>
      <w:r>
        <w:rPr>
          <w:rFonts w:hint="eastAsia" w:ascii="黑体" w:hAnsi="黑体" w:eastAsia="黑体" w:cs="黑体"/>
          <w:b w:val="0"/>
          <w:bCs w:val="0"/>
          <w:color w:val="000000" w:themeColor="text1"/>
          <w:spacing w:val="0"/>
          <w:kern w:val="0"/>
          <w:sz w:val="32"/>
          <w:szCs w:val="32"/>
          <w14:textFill>
            <w14:solidFill>
              <w14:schemeClr w14:val="tx1"/>
            </w14:solidFill>
          </w14:textFill>
        </w:rPr>
        <w:t>第七章  附则</w:t>
      </w:r>
      <w:bookmarkEnd w:id="14"/>
      <w:bookmarkEnd w:id="15"/>
    </w:p>
    <w:p w14:paraId="5BBED554">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第三十</w:t>
      </w:r>
      <w:r>
        <w:rPr>
          <w:rFonts w:hint="eastAsia" w:ascii="黑体" w:hAnsi="黑体" w:eastAsia="黑体" w:cs="黑体"/>
          <w:b w:val="0"/>
          <w:bCs w:val="0"/>
          <w:color w:val="000000" w:themeColor="text1"/>
          <w:spacing w:val="0"/>
          <w:kern w:val="0"/>
          <w:sz w:val="32"/>
          <w:szCs w:val="32"/>
          <w:lang w:val="en-US" w:eastAsia="zh-CN"/>
          <w14:textFill>
            <w14:solidFill>
              <w14:schemeClr w14:val="tx1"/>
            </w14:solidFill>
          </w14:textFill>
        </w:rPr>
        <w:t>三</w:t>
      </w:r>
      <w:r>
        <w:rPr>
          <w:rFonts w:hint="eastAsia" w:ascii="黑体" w:hAnsi="黑体" w:eastAsia="黑体" w:cs="黑体"/>
          <w:b w:val="0"/>
          <w:bCs w:val="0"/>
          <w:color w:val="000000" w:themeColor="text1"/>
          <w:spacing w:val="0"/>
          <w:kern w:val="0"/>
          <w:sz w:val="32"/>
          <w:szCs w:val="32"/>
          <w14:textFill>
            <w14:solidFill>
              <w14:schemeClr w14:val="tx1"/>
            </w14:solidFill>
          </w14:textFill>
        </w:rPr>
        <w:t>条</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本办法由中国建筑装饰协会负责解释。</w:t>
      </w:r>
    </w:p>
    <w:p w14:paraId="4D8796D9">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spacing w:val="0"/>
          <w:kern w:val="0"/>
          <w:sz w:val="32"/>
          <w:szCs w:val="32"/>
          <w14:textFill>
            <w14:solidFill>
              <w14:schemeClr w14:val="tx1"/>
            </w14:solidFill>
          </w14:textFill>
        </w:rPr>
        <w:t>第三十</w:t>
      </w:r>
      <w:r>
        <w:rPr>
          <w:rFonts w:hint="eastAsia" w:ascii="黑体" w:hAnsi="黑体" w:eastAsia="黑体" w:cs="黑体"/>
          <w:b w:val="0"/>
          <w:bCs w:val="0"/>
          <w:color w:val="000000" w:themeColor="text1"/>
          <w:spacing w:val="0"/>
          <w:kern w:val="0"/>
          <w:sz w:val="32"/>
          <w:szCs w:val="32"/>
          <w:lang w:val="en-US" w:eastAsia="zh-CN"/>
          <w14:textFill>
            <w14:solidFill>
              <w14:schemeClr w14:val="tx1"/>
            </w14:solidFill>
          </w14:textFill>
        </w:rPr>
        <w:t>四</w:t>
      </w:r>
      <w:r>
        <w:rPr>
          <w:rFonts w:hint="eastAsia" w:ascii="黑体" w:hAnsi="黑体" w:eastAsia="黑体" w:cs="黑体"/>
          <w:b w:val="0"/>
          <w:bCs w:val="0"/>
          <w:color w:val="000000" w:themeColor="text1"/>
          <w:spacing w:val="0"/>
          <w:kern w:val="0"/>
          <w:sz w:val="32"/>
          <w:szCs w:val="32"/>
          <w14:textFill>
            <w14:solidFill>
              <w14:schemeClr w14:val="tx1"/>
            </w14:solidFill>
          </w14:textFill>
        </w:rPr>
        <w:t>条</w:t>
      </w:r>
      <w:r>
        <w:rPr>
          <w:rFonts w:hint="eastAsia" w:ascii="黑体" w:hAnsi="黑体" w:eastAsia="黑体" w:cs="黑体"/>
          <w:b w:val="0"/>
          <w:bCs w:val="0"/>
          <w:color w:val="000000" w:themeColor="text1"/>
          <w:spacing w:val="0"/>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 xml:space="preserve"> 本办法自发布之日起施行。《中国建筑工程装饰奖评选办法》（2023版）同时废止。</w:t>
      </w:r>
    </w:p>
    <w:p w14:paraId="2ABB7971">
      <w:pPr>
        <w:keepNext w:val="0"/>
        <w:keepLines w:val="0"/>
        <w:pageBreakBefore w:val="0"/>
        <w:widowControl w:val="0"/>
        <w:kinsoku/>
        <w:wordWrap/>
        <w:overflowPunct/>
        <w:topLinePunct w:val="0"/>
        <w:bidi w:val="0"/>
        <w:snapToGrid/>
        <w:spacing w:line="240" w:lineRule="auto"/>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p>
    <w:p w14:paraId="089BE554">
      <w:pPr>
        <w:keepNext w:val="0"/>
        <w:keepLines w:val="0"/>
        <w:pageBreakBefore w:val="0"/>
        <w:widowControl w:val="0"/>
        <w:kinsoku/>
        <w:wordWrap/>
        <w:overflowPunct/>
        <w:topLinePunct w:val="0"/>
        <w:bidi w:val="0"/>
        <w:snapToGrid/>
        <w:spacing w:line="240" w:lineRule="auto"/>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附件：1.中国建筑装饰协会中国建筑工程装饰奖复查实施细则</w:t>
      </w:r>
    </w:p>
    <w:p w14:paraId="3122BCF2">
      <w:pPr>
        <w:keepNext w:val="0"/>
        <w:keepLines w:val="0"/>
        <w:pageBreakBefore w:val="0"/>
        <w:widowControl w:val="0"/>
        <w:kinsoku/>
        <w:wordWrap/>
        <w:overflowPunct/>
        <w:topLinePunct w:val="0"/>
        <w:bidi w:val="0"/>
        <w:snapToGrid/>
        <w:spacing w:line="240" w:lineRule="auto"/>
        <w:ind w:firstLine="1280" w:firstLineChars="4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--公共建筑装饰类</w:t>
      </w:r>
    </w:p>
    <w:p w14:paraId="6C884374">
      <w:pPr>
        <w:keepNext w:val="0"/>
        <w:keepLines w:val="0"/>
        <w:pageBreakBefore w:val="0"/>
        <w:widowControl w:val="0"/>
        <w:numPr>
          <w:ilvl w:val="0"/>
          <w:numId w:val="0"/>
        </w:numPr>
        <w:kinsoku/>
        <w:wordWrap/>
        <w:overflowPunct/>
        <w:topLinePunct w:val="0"/>
        <w:bidi w:val="0"/>
        <w:snapToGrid/>
        <w:spacing w:line="240" w:lineRule="auto"/>
        <w:ind w:firstLine="960" w:firstLineChars="3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bookmarkStart w:id="16" w:name="_Hlk203388778"/>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2.中国建筑装饰协会中国建筑工程装饰奖复查实施细则</w:t>
      </w:r>
    </w:p>
    <w:p w14:paraId="6F98DA79">
      <w:pPr>
        <w:keepNext w:val="0"/>
        <w:keepLines w:val="0"/>
        <w:pageBreakBefore w:val="0"/>
        <w:widowControl w:val="0"/>
        <w:numPr>
          <w:ilvl w:val="0"/>
          <w:numId w:val="0"/>
        </w:numPr>
        <w:kinsoku/>
        <w:wordWrap/>
        <w:overflowPunct/>
        <w:topLinePunct w:val="0"/>
        <w:bidi w:val="0"/>
        <w:snapToGrid/>
        <w:spacing w:line="240" w:lineRule="auto"/>
        <w:ind w:firstLine="1280" w:firstLineChars="4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--公共建筑装饰设计</w:t>
      </w:r>
    </w:p>
    <w:bookmarkEnd w:id="16"/>
    <w:p w14:paraId="5EE9ADFA">
      <w:pPr>
        <w:keepNext w:val="0"/>
        <w:keepLines w:val="0"/>
        <w:pageBreakBefore w:val="0"/>
        <w:widowControl w:val="0"/>
        <w:numPr>
          <w:ilvl w:val="0"/>
          <w:numId w:val="0"/>
        </w:numPr>
        <w:kinsoku/>
        <w:wordWrap/>
        <w:overflowPunct/>
        <w:topLinePunct w:val="0"/>
        <w:bidi w:val="0"/>
        <w:snapToGrid/>
        <w:spacing w:line="240" w:lineRule="auto"/>
        <w:ind w:firstLine="960" w:firstLineChars="3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3.中国建筑装饰协会中国建筑工程装饰奖复查实施细则</w:t>
      </w:r>
    </w:p>
    <w:p w14:paraId="43DED394">
      <w:pPr>
        <w:keepNext w:val="0"/>
        <w:keepLines w:val="0"/>
        <w:pageBreakBefore w:val="0"/>
        <w:widowControl w:val="0"/>
        <w:numPr>
          <w:ilvl w:val="0"/>
          <w:numId w:val="0"/>
        </w:numPr>
        <w:kinsoku/>
        <w:wordWrap/>
        <w:overflowPunct/>
        <w:topLinePunct w:val="0"/>
        <w:bidi w:val="0"/>
        <w:snapToGrid/>
        <w:spacing w:line="240" w:lineRule="auto"/>
        <w:ind w:firstLine="1280" w:firstLineChars="4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--建筑幕墙类</w:t>
      </w:r>
      <w:bookmarkStart w:id="42" w:name="_GoBack"/>
      <w:bookmarkEnd w:id="42"/>
    </w:p>
    <w:p w14:paraId="3ED3B6AB">
      <w:pPr>
        <w:keepNext w:val="0"/>
        <w:keepLines w:val="0"/>
        <w:pageBreakBefore w:val="0"/>
        <w:widowControl w:val="0"/>
        <w:numPr>
          <w:ilvl w:val="0"/>
          <w:numId w:val="0"/>
        </w:numPr>
        <w:kinsoku/>
        <w:wordWrap/>
        <w:overflowPunct/>
        <w:topLinePunct w:val="0"/>
        <w:bidi w:val="0"/>
        <w:snapToGrid/>
        <w:spacing w:line="240" w:lineRule="auto"/>
        <w:ind w:firstLine="960" w:firstLineChars="3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4.中国建筑装饰协会中国建筑工程装饰奖复查实施细则</w:t>
      </w:r>
    </w:p>
    <w:p w14:paraId="2719DDCE">
      <w:pPr>
        <w:keepNext w:val="0"/>
        <w:keepLines w:val="0"/>
        <w:pageBreakBefore w:val="0"/>
        <w:widowControl w:val="0"/>
        <w:numPr>
          <w:ilvl w:val="0"/>
          <w:numId w:val="0"/>
        </w:numPr>
        <w:kinsoku/>
        <w:wordWrap/>
        <w:overflowPunct/>
        <w:topLinePunct w:val="0"/>
        <w:bidi w:val="0"/>
        <w:snapToGrid/>
        <w:spacing w:line="240" w:lineRule="auto"/>
        <w:ind w:firstLine="1280" w:firstLineChars="4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--建筑幕墙设计</w:t>
      </w:r>
    </w:p>
    <w:p w14:paraId="48DAF6B3">
      <w:pPr>
        <w:keepNext w:val="0"/>
        <w:keepLines w:val="0"/>
        <w:pageBreakBefore w:val="0"/>
        <w:widowControl w:val="0"/>
        <w:numPr>
          <w:ilvl w:val="0"/>
          <w:numId w:val="0"/>
        </w:numPr>
        <w:kinsoku/>
        <w:wordWrap/>
        <w:overflowPunct/>
        <w:topLinePunct w:val="0"/>
        <w:bidi w:val="0"/>
        <w:snapToGrid/>
        <w:spacing w:line="240" w:lineRule="auto"/>
        <w:ind w:firstLine="960" w:firstLineChars="3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5.中国建筑装饰协会中国建筑工程装饰奖复查实施细则</w:t>
      </w:r>
    </w:p>
    <w:p w14:paraId="6F3E587F">
      <w:pPr>
        <w:keepNext w:val="0"/>
        <w:keepLines w:val="0"/>
        <w:pageBreakBefore w:val="0"/>
        <w:widowControl w:val="0"/>
        <w:numPr>
          <w:ilvl w:val="0"/>
          <w:numId w:val="0"/>
        </w:numPr>
        <w:kinsoku/>
        <w:wordWrap/>
        <w:overflowPunct/>
        <w:topLinePunct w:val="0"/>
        <w:bidi w:val="0"/>
        <w:snapToGrid/>
        <w:spacing w:line="240" w:lineRule="auto"/>
        <w:ind w:firstLine="1280" w:firstLineChars="400"/>
        <w:textAlignment w:val="auto"/>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t>--住宅类</w:t>
      </w:r>
    </w:p>
    <w:p w14:paraId="43EB62FD">
      <w:pPr>
        <w:pStyle w:val="3"/>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p>
    <w:p w14:paraId="1761F736">
      <w:pPr>
        <w:rPr>
          <w:rFonts w:hint="eastAsia"/>
          <w:lang w:val="en-US" w:eastAsia="zh-CN"/>
        </w:rPr>
      </w:pPr>
    </w:p>
    <w:p w14:paraId="2CA7056B">
      <w:pP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p>
    <w:p w14:paraId="688C2771">
      <w:pP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p>
    <w:p w14:paraId="21748742">
      <w:pP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p>
    <w:p w14:paraId="709527F0">
      <w:pP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p>
    <w:p w14:paraId="34479957">
      <w:pPr>
        <w:rPr>
          <w:rFonts w:hint="eastAsia" w:ascii="仿宋_GB2312" w:hAnsi="仿宋_GB2312" w:eastAsia="仿宋_GB2312" w:cs="仿宋_GB2312"/>
          <w:color w:val="000000" w:themeColor="text1"/>
          <w:spacing w:val="0"/>
          <w:kern w:val="0"/>
          <w:sz w:val="32"/>
          <w:szCs w:val="32"/>
          <w:lang w:val="en-US" w:eastAsia="zh-CN" w:bidi="ar-SA"/>
          <w14:textFill>
            <w14:solidFill>
              <w14:schemeClr w14:val="tx1"/>
            </w14:solidFill>
          </w14:textFill>
        </w:rPr>
      </w:pPr>
    </w:p>
    <w:p w14:paraId="326D2488">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right="0" w:firstLine="0"/>
        <w:jc w:val="both"/>
        <w:textAlignment w:val="auto"/>
        <w:rPr>
          <w:rFonts w:hint="eastAsia" w:ascii="黑体" w:hAnsi="黑体" w:eastAsia="黑体" w:cs="黑体"/>
          <w:snapToGrid w:val="0"/>
          <w:color w:val="000000"/>
          <w:spacing w:val="0"/>
          <w:kern w:val="0"/>
          <w:sz w:val="32"/>
          <w:szCs w:val="32"/>
          <w:highlight w:val="none"/>
          <w:lang w:val="en-US" w:eastAsia="zh-CN"/>
        </w:rPr>
      </w:pPr>
      <w:r>
        <w:rPr>
          <w:rFonts w:hint="eastAsia" w:ascii="黑体" w:hAnsi="黑体" w:eastAsia="黑体" w:cs="黑体"/>
          <w:snapToGrid w:val="0"/>
          <w:color w:val="000000"/>
          <w:spacing w:val="0"/>
          <w:kern w:val="0"/>
          <w:sz w:val="32"/>
          <w:szCs w:val="32"/>
          <w:highlight w:val="none"/>
          <w:lang w:val="en-US" w:eastAsia="zh-CN"/>
        </w:rPr>
        <w:t>附件1</w:t>
      </w:r>
    </w:p>
    <w:p w14:paraId="57AFF841">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right="0" w:firstLine="0"/>
        <w:jc w:val="center"/>
        <w:textAlignment w:val="auto"/>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pPr>
      <w:r>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t>中国建筑装饰协会中国建筑工程装饰奖</w:t>
      </w:r>
    </w:p>
    <w:p w14:paraId="409EB552">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right="0" w:firstLine="0"/>
        <w:jc w:val="center"/>
        <w:textAlignment w:val="auto"/>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pPr>
      <w:r>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t>复查实施细则</w:t>
      </w:r>
    </w:p>
    <w:p w14:paraId="113AAE1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b w:val="0"/>
          <w:bCs w:val="0"/>
          <w:color w:val="000000"/>
          <w:spacing w:val="0"/>
          <w:kern w:val="0"/>
          <w:sz w:val="32"/>
          <w:szCs w:val="32"/>
          <w:lang w:val="en-US" w:eastAsia="zh-CN" w:bidi="ar-SA"/>
        </w:rPr>
      </w:pPr>
      <w:r>
        <w:rPr>
          <w:rFonts w:hint="eastAsia" w:ascii="楷体_GB2312" w:hAnsi="楷体_GB2312" w:eastAsia="楷体_GB2312" w:cs="楷体_GB2312"/>
          <w:b w:val="0"/>
          <w:bCs w:val="0"/>
          <w:color w:val="000000"/>
          <w:spacing w:val="0"/>
          <w:kern w:val="0"/>
          <w:sz w:val="32"/>
          <w:szCs w:val="32"/>
          <w:lang w:val="en-US" w:eastAsia="zh-CN" w:bidi="ar-SA"/>
        </w:rPr>
        <w:t>公共建筑装饰类</w:t>
      </w:r>
    </w:p>
    <w:p w14:paraId="51AE5F2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 w:val="32"/>
          <w:szCs w:val="32"/>
        </w:rPr>
      </w:pPr>
    </w:p>
    <w:p w14:paraId="39E67090">
      <w:pPr>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黑体" w:hAnsi="黑体" w:eastAsia="黑体" w:cs="黑体"/>
          <w:b w:val="0"/>
          <w:bCs w:val="0"/>
          <w:spacing w:val="0"/>
          <w:kern w:val="0"/>
          <w:sz w:val="32"/>
          <w:szCs w:val="32"/>
        </w:rPr>
      </w:pPr>
      <w:bookmarkStart w:id="17" w:name="_Toc31243"/>
      <w:bookmarkStart w:id="18" w:name="_Toc10384"/>
      <w:r>
        <w:rPr>
          <w:rFonts w:hint="eastAsia" w:ascii="黑体" w:hAnsi="黑体" w:eastAsia="黑体" w:cs="黑体"/>
          <w:b w:val="0"/>
          <w:bCs w:val="0"/>
          <w:spacing w:val="0"/>
          <w:kern w:val="0"/>
          <w:sz w:val="32"/>
          <w:szCs w:val="32"/>
        </w:rPr>
        <w:t>一、评分标准及要求</w:t>
      </w:r>
      <w:bookmarkEnd w:id="17"/>
      <w:bookmarkEnd w:id="18"/>
    </w:p>
    <w:p w14:paraId="0D2326D9">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鉴于复查项目的工程性质、类别、规模、使用的材料采用的工艺等各方面差别较大，故复查工程的评分采用扣分法，本细则重点列出了在资料（必要文件、工程安全证明资料、过程资料、图纸）、工程实体（地面、墙柱面、吊顶）、科技创新、总体印象等几个方面的常见问题、质量通病和涉及安全与使用的问题，结合复查中查出的问题进行评分。项目复查总分为100分。</w:t>
      </w:r>
    </w:p>
    <w:p w14:paraId="0A2570C9">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工程复查评分标准——公共建筑装饰类》所列复查内容均为工程复查的必查和主查内容，各复查小组可根据项目实际情况做必要的补充和调整，但必查内容不可取消。复查评分严格按照各项要求及分值进行复查评分，并将各大项评分记录在申报表工程复查表中。</w:t>
      </w:r>
    </w:p>
    <w:p w14:paraId="3ED1A9B4">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申报装饰奖的单位需重视对工程安全隐患的排查及相关必要文件的准备，要求申报单位在申报前对如下方面进行自查，使其符合相应的国家强制性规范和标准以及装饰奖复查要求：</w:t>
      </w:r>
    </w:p>
    <w:p w14:paraId="59946872">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重点部位及资料：</w:t>
      </w:r>
    </w:p>
    <w:p w14:paraId="614D6B56">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（一）改动建筑主体、承重结构、增加结构荷载；</w:t>
      </w:r>
    </w:p>
    <w:p w14:paraId="4B531A69">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（二）室内石材吊顶、过顶石材及其它重型吊顶；</w:t>
      </w:r>
    </w:p>
    <w:p w14:paraId="090F8C34">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（三）钢结构转换层（如顶部有空间网架或钢屋架等）与网架、吊顶连接；</w:t>
      </w:r>
    </w:p>
    <w:p w14:paraId="46BE951E">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（四）大型吊灯、吊挂物（10kg及以上）安装的荷载试验和相关隐蔽资料、墙面背景灯、潮湿有水部位的灯具安装；</w:t>
      </w:r>
    </w:p>
    <w:p w14:paraId="098A2071">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（五）玻璃制品安装：屋面、吊顶、墙面、地面等；</w:t>
      </w:r>
    </w:p>
    <w:p w14:paraId="4E652AEC">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（六）室内墙柱</w:t>
      </w:r>
      <w:r>
        <w:rPr>
          <w:rFonts w:hint="eastAsia" w:ascii="仿宋_GB2312" w:hAnsi="仿宋_GB2312" w:eastAsia="仿宋_GB2312" w:cs="仿宋_GB2312"/>
          <w:spacing w:val="-6"/>
          <w:kern w:val="0"/>
          <w:sz w:val="32"/>
          <w:szCs w:val="32"/>
        </w:rPr>
        <w:t>面石材、瓷砖或其它重型饰面材料干挂、挂贴；</w:t>
      </w:r>
    </w:p>
    <w:p w14:paraId="2F181303">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（七）较大、较重的活动隔断安装；</w:t>
      </w:r>
    </w:p>
    <w:p w14:paraId="569C189E">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（八）楼梯扶手及栏杆、栏板；</w:t>
      </w:r>
    </w:p>
    <w:p w14:paraId="6EFB27E8">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（九）变形缝及其构造；</w:t>
      </w:r>
    </w:p>
    <w:p w14:paraId="50CD27E3">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spacing w:val="0"/>
          <w:kern w:val="0"/>
          <w:sz w:val="32"/>
          <w:szCs w:val="32"/>
        </w:rPr>
        <w:t>（十）顶</w:t>
      </w:r>
      <w:r>
        <w:rPr>
          <w:rFonts w:hint="eastAsia" w:ascii="仿宋_GB2312" w:hAnsi="仿宋_GB2312" w:eastAsia="仿宋_GB2312" w:cs="仿宋_GB2312"/>
          <w:spacing w:val="-6"/>
          <w:kern w:val="0"/>
          <w:sz w:val="32"/>
          <w:szCs w:val="32"/>
        </w:rPr>
        <w:t>棚、墙面、地面等部位的装饰材料是否符合防火要求；</w:t>
      </w:r>
    </w:p>
    <w:p w14:paraId="7F1ED044">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（十一）开关、插座的接线及防火隔热措施；天花吊顶内的接线。</w:t>
      </w:r>
    </w:p>
    <w:p w14:paraId="5EBAB37C">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十二）申报项目必要资料是否真实及齐全，特别是开竣工日期、施工许可证、消防验收、各种材料复试报告、各项试验报告（蓄水、螺栓拉拔、灯具过载等试验，干挂墙面超12米的计算文件）、室内环境污染物检测报告；竣工图纸签字盖章是否齐全、重点节点图是否齐全。</w:t>
      </w:r>
    </w:p>
    <w:p w14:paraId="24F9F798">
      <w:pPr>
        <w:keepNext w:val="0"/>
        <w:keepLines w:val="0"/>
        <w:pageBreakBefore w:val="0"/>
        <w:widowControl w:val="0"/>
        <w:kinsoku/>
        <w:wordWrap/>
        <w:overflowPunct/>
        <w:topLinePunct w:val="0"/>
        <w:bidi w:val="0"/>
        <w:snapToGrid/>
        <w:spacing w:line="240" w:lineRule="auto"/>
        <w:ind w:firstLine="640" w:firstLineChars="200"/>
        <w:jc w:val="both"/>
        <w:textAlignment w:val="auto"/>
        <w:rPr>
          <w:rFonts w:hint="eastAsia" w:ascii="黑体" w:hAnsi="黑体" w:eastAsia="黑体" w:cs="黑体"/>
          <w:b w:val="0"/>
          <w:bCs w:val="0"/>
          <w:spacing w:val="0"/>
          <w:kern w:val="0"/>
          <w:sz w:val="32"/>
          <w:szCs w:val="32"/>
        </w:rPr>
      </w:pPr>
      <w:bookmarkStart w:id="19" w:name="_Toc14421"/>
      <w:bookmarkStart w:id="20" w:name="_Toc9411"/>
      <w:r>
        <w:rPr>
          <w:rFonts w:hint="eastAsia" w:ascii="黑体" w:hAnsi="黑体" w:eastAsia="黑体" w:cs="黑体"/>
          <w:b w:val="0"/>
          <w:bCs w:val="0"/>
          <w:spacing w:val="0"/>
          <w:kern w:val="0"/>
          <w:sz w:val="32"/>
          <w:szCs w:val="32"/>
        </w:rPr>
        <w:t>二、执行的法规、规范和标准</w:t>
      </w:r>
      <w:bookmarkEnd w:id="19"/>
      <w:bookmarkEnd w:id="20"/>
    </w:p>
    <w:p w14:paraId="620A0032">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以法律法规、现行国家和行业规范标准以及CBDA标准为准。</w:t>
      </w:r>
    </w:p>
    <w:p w14:paraId="789F296F">
      <w:pPr>
        <w:keepNext w:val="0"/>
        <w:keepLines w:val="0"/>
        <w:pageBreakBefore w:val="0"/>
        <w:widowControl w:val="0"/>
        <w:kinsoku/>
        <w:wordWrap/>
        <w:overflowPunct/>
        <w:topLinePunct w:val="0"/>
        <w:bidi w:val="0"/>
        <w:adjustRightInd w:val="0"/>
        <w:snapToGrid/>
        <w:spacing w:line="240" w:lineRule="auto"/>
        <w:ind w:firstLine="640" w:firstLineChars="200"/>
        <w:jc w:val="both"/>
        <w:textAlignment w:val="auto"/>
        <w:rPr>
          <w:rFonts w:hint="eastAsia" w:ascii="仿宋_GB2312" w:hAnsi="仿宋_GB2312" w:eastAsia="仿宋_GB2312" w:cs="仿宋_GB2312"/>
          <w:spacing w:val="0"/>
          <w:kern w:val="0"/>
          <w:sz w:val="32"/>
          <w:szCs w:val="32"/>
        </w:rPr>
        <w:sectPr>
          <w:headerReference r:id="rId5" w:type="default"/>
          <w:footerReference r:id="rId6" w:type="default"/>
          <w:pgSz w:w="11906" w:h="16838"/>
          <w:pgMar w:top="1440" w:right="1247" w:bottom="1440" w:left="1587" w:header="851" w:footer="992" w:gutter="0"/>
          <w:pgNumType w:fmt="numberInDash"/>
          <w:cols w:space="720" w:num="1"/>
          <w:docGrid w:type="lines" w:linePitch="312" w:charSpace="0"/>
        </w:sectPr>
      </w:pPr>
    </w:p>
    <w:p w14:paraId="1B0BD127">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kern w:val="0"/>
          <w:sz w:val="32"/>
          <w:szCs w:val="32"/>
        </w:rPr>
      </w:pPr>
      <w:bookmarkStart w:id="21" w:name="_Toc13461"/>
      <w:bookmarkStart w:id="22" w:name="_Toc7123"/>
      <w:r>
        <w:rPr>
          <w:rFonts w:hint="eastAsia" w:ascii="黑体" w:hAnsi="黑体" w:eastAsia="黑体" w:cs="黑体"/>
          <w:b w:val="0"/>
          <w:bCs w:val="0"/>
          <w:spacing w:val="0"/>
          <w:kern w:val="0"/>
          <w:sz w:val="32"/>
          <w:szCs w:val="32"/>
        </w:rPr>
        <w:t>三、工程复查评分标准——公共建筑装饰类</w:t>
      </w:r>
      <w:bookmarkEnd w:id="21"/>
      <w:bookmarkEnd w:id="22"/>
    </w:p>
    <w:tbl>
      <w:tblPr>
        <w:tblStyle w:val="25"/>
        <w:tblW w:w="14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423"/>
        <w:gridCol w:w="5287"/>
        <w:gridCol w:w="2212"/>
        <w:gridCol w:w="1701"/>
        <w:gridCol w:w="851"/>
        <w:gridCol w:w="2268"/>
      </w:tblGrid>
      <w:tr w14:paraId="030CA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25" w:type="dxa"/>
            <w:tcBorders>
              <w:top w:val="single" w:color="auto" w:sz="4" w:space="0"/>
              <w:left w:val="single" w:color="auto" w:sz="4" w:space="0"/>
              <w:bottom w:val="single" w:color="auto" w:sz="4" w:space="0"/>
              <w:right w:val="single" w:color="auto" w:sz="4" w:space="0"/>
            </w:tcBorders>
            <w:noWrap w:val="0"/>
            <w:vAlign w:val="center"/>
          </w:tcPr>
          <w:p w14:paraId="71F69EC7">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序号</w:t>
            </w:r>
          </w:p>
        </w:tc>
        <w:tc>
          <w:tcPr>
            <w:tcW w:w="1423" w:type="dxa"/>
            <w:tcBorders>
              <w:top w:val="single" w:color="auto" w:sz="4" w:space="0"/>
              <w:left w:val="single" w:color="auto" w:sz="4" w:space="0"/>
              <w:bottom w:val="single" w:color="auto" w:sz="4" w:space="0"/>
              <w:right w:val="single" w:color="auto" w:sz="4" w:space="0"/>
            </w:tcBorders>
            <w:noWrap w:val="0"/>
            <w:vAlign w:val="center"/>
          </w:tcPr>
          <w:p w14:paraId="717EBC7C">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复查项目</w:t>
            </w:r>
          </w:p>
        </w:tc>
        <w:tc>
          <w:tcPr>
            <w:tcW w:w="5287" w:type="dxa"/>
            <w:tcBorders>
              <w:top w:val="single" w:color="auto" w:sz="4" w:space="0"/>
              <w:left w:val="single" w:color="auto" w:sz="4" w:space="0"/>
              <w:bottom w:val="single" w:color="auto" w:sz="4" w:space="0"/>
              <w:right w:val="single" w:color="auto" w:sz="4" w:space="0"/>
            </w:tcBorders>
            <w:noWrap w:val="0"/>
            <w:vAlign w:val="center"/>
          </w:tcPr>
          <w:p w14:paraId="7826A39D">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复查内容</w:t>
            </w:r>
          </w:p>
        </w:tc>
        <w:tc>
          <w:tcPr>
            <w:tcW w:w="2212" w:type="dxa"/>
            <w:tcBorders>
              <w:top w:val="single" w:color="auto" w:sz="4" w:space="0"/>
              <w:left w:val="single" w:color="auto" w:sz="4" w:space="0"/>
              <w:bottom w:val="single" w:color="auto" w:sz="4" w:space="0"/>
              <w:right w:val="single" w:color="auto" w:sz="4" w:space="0"/>
            </w:tcBorders>
            <w:noWrap w:val="0"/>
            <w:vAlign w:val="center"/>
          </w:tcPr>
          <w:p w14:paraId="4B9F2E3B">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2CEF7AC">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63EEA8D4">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FC03BBA">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复查方法</w:t>
            </w:r>
          </w:p>
        </w:tc>
      </w:tr>
      <w:tr w14:paraId="480D1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4" w:hRule="atLeast"/>
          <w:jc w:val="center"/>
        </w:trPr>
        <w:tc>
          <w:tcPr>
            <w:tcW w:w="825" w:type="dxa"/>
            <w:vMerge w:val="restart"/>
            <w:tcBorders>
              <w:top w:val="single" w:color="auto" w:sz="4" w:space="0"/>
              <w:left w:val="single" w:color="auto" w:sz="4" w:space="0"/>
              <w:right w:val="single" w:color="auto" w:sz="4" w:space="0"/>
            </w:tcBorders>
            <w:noWrap w:val="0"/>
            <w:vAlign w:val="center"/>
          </w:tcPr>
          <w:p w14:paraId="272ABAF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rPr>
            </w:pPr>
            <w:r>
              <w:rPr>
                <w:rFonts w:hint="eastAsia" w:ascii="方正仿宋_GB2312" w:hAnsi="方正仿宋_GB2312" w:eastAsia="方正仿宋_GB2312" w:cs="方正仿宋_GB2312"/>
                <w:spacing w:val="0"/>
              </w:rPr>
              <w:t>1</w:t>
            </w:r>
          </w:p>
        </w:tc>
        <w:tc>
          <w:tcPr>
            <w:tcW w:w="1423" w:type="dxa"/>
            <w:vMerge w:val="restart"/>
            <w:tcBorders>
              <w:top w:val="single" w:color="auto" w:sz="4" w:space="0"/>
              <w:left w:val="single" w:color="auto" w:sz="4" w:space="0"/>
              <w:right w:val="single" w:color="auto" w:sz="4" w:space="0"/>
            </w:tcBorders>
            <w:noWrap w:val="0"/>
            <w:vAlign w:val="center"/>
          </w:tcPr>
          <w:p w14:paraId="65D2A13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资料</w:t>
            </w:r>
          </w:p>
        </w:tc>
        <w:tc>
          <w:tcPr>
            <w:tcW w:w="5287" w:type="dxa"/>
            <w:tcBorders>
              <w:top w:val="single" w:color="auto" w:sz="4" w:space="0"/>
              <w:left w:val="single" w:color="auto" w:sz="4" w:space="0"/>
              <w:bottom w:val="single" w:color="auto" w:sz="4" w:space="0"/>
              <w:right w:val="single" w:color="auto" w:sz="4" w:space="0"/>
            </w:tcBorders>
            <w:noWrap w:val="0"/>
            <w:vAlign w:val="center"/>
          </w:tcPr>
          <w:p w14:paraId="34F2629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必要文件：</w:t>
            </w:r>
          </w:p>
          <w:p w14:paraId="0482003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1.企业法人营业证照、资质等级证书、安全生产许可证（此三项上一年度参评企业可提供加盖本单位公章的复印件）</w:t>
            </w:r>
          </w:p>
          <w:p w14:paraId="7CA55E0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2.项目经理注册建造师证书、安全生产考核合格证书；</w:t>
            </w:r>
          </w:p>
          <w:p w14:paraId="5D52048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3.施工许可相关证明文件；</w:t>
            </w:r>
          </w:p>
          <w:p w14:paraId="5730E1C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4.施工合同；</w:t>
            </w:r>
          </w:p>
          <w:p w14:paraId="7D1EDCA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5.项目竣工验收证明文件（相关责任主体签章必须齐全）；</w:t>
            </w:r>
          </w:p>
          <w:p w14:paraId="3C1FA29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6.消防验收合格证明或消防竣工备案证明；</w:t>
            </w:r>
          </w:p>
          <w:p w14:paraId="3BAD3C2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7.室内环境质量检测报告，需由具备相应资质的检测机构出具。</w:t>
            </w:r>
          </w:p>
        </w:tc>
        <w:tc>
          <w:tcPr>
            <w:tcW w:w="2212" w:type="dxa"/>
            <w:tcBorders>
              <w:top w:val="single" w:color="auto" w:sz="4" w:space="0"/>
              <w:left w:val="single" w:color="auto" w:sz="4" w:space="0"/>
              <w:bottom w:val="single" w:color="auto" w:sz="4" w:space="0"/>
              <w:right w:val="single" w:color="auto" w:sz="4" w:space="0"/>
            </w:tcBorders>
            <w:noWrap w:val="0"/>
            <w:vAlign w:val="center"/>
          </w:tcPr>
          <w:p w14:paraId="5993BF6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必要文件有一项不合格或不符合要求者不予评审。</w:t>
            </w:r>
          </w:p>
        </w:tc>
        <w:tc>
          <w:tcPr>
            <w:tcW w:w="1701" w:type="dxa"/>
            <w:tcBorders>
              <w:top w:val="single" w:color="auto" w:sz="4" w:space="0"/>
              <w:left w:val="single" w:color="auto" w:sz="4" w:space="0"/>
              <w:right w:val="single" w:color="auto" w:sz="4" w:space="0"/>
            </w:tcBorders>
            <w:noWrap w:val="0"/>
            <w:vAlign w:val="center"/>
          </w:tcPr>
          <w:p w14:paraId="156D0981">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1.必要文件应为原件或可网查的电子文件打印件并加盖申报单位鲜章；</w:t>
            </w:r>
          </w:p>
          <w:p w14:paraId="65D764BE">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2.联合体项目需提供其他成员单位意见书。</w:t>
            </w:r>
          </w:p>
        </w:tc>
        <w:tc>
          <w:tcPr>
            <w:tcW w:w="851" w:type="dxa"/>
            <w:vMerge w:val="restart"/>
            <w:tcBorders>
              <w:top w:val="single" w:color="auto" w:sz="4" w:space="0"/>
              <w:left w:val="single" w:color="auto" w:sz="4" w:space="0"/>
              <w:right w:val="single" w:color="auto" w:sz="4" w:space="0"/>
            </w:tcBorders>
            <w:noWrap w:val="0"/>
            <w:vAlign w:val="center"/>
          </w:tcPr>
          <w:p w14:paraId="1D96F7C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20分</w:t>
            </w:r>
          </w:p>
        </w:tc>
        <w:tc>
          <w:tcPr>
            <w:tcW w:w="2268" w:type="dxa"/>
            <w:tcBorders>
              <w:top w:val="single" w:color="auto" w:sz="4" w:space="0"/>
              <w:left w:val="single" w:color="auto" w:sz="4" w:space="0"/>
              <w:right w:val="single" w:color="auto" w:sz="4" w:space="0"/>
            </w:tcBorders>
            <w:noWrap w:val="0"/>
            <w:vAlign w:val="center"/>
          </w:tcPr>
          <w:p w14:paraId="5FECF36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查：相关文件资料原件或电子证件（提供网查链接）；</w:t>
            </w:r>
          </w:p>
          <w:p w14:paraId="26593546">
            <w:pPr>
              <w:keepNext w:val="0"/>
              <w:keepLines w:val="0"/>
              <w:pageBreakBefore w:val="0"/>
              <w:widowControl w:val="0"/>
              <w:kinsoku/>
              <w:wordWrap/>
              <w:overflowPunct/>
              <w:topLinePunct w:val="0"/>
              <w:bidi w:val="0"/>
              <w:snapToGrid/>
              <w:spacing w:line="240" w:lineRule="auto"/>
              <w:ind w:firstLine="420" w:firstLineChars="20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原件已存入城建档案馆或城建档案管理机构的可提供由档案馆或城建档案管理机构出具的加盖出具单位和申报单位鲜章并注明“原件存于XXX，复印件与原件相同”字样的复印件。</w:t>
            </w:r>
          </w:p>
        </w:tc>
      </w:tr>
      <w:tr w14:paraId="644F3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1" w:hRule="atLeast"/>
          <w:jc w:val="center"/>
        </w:trPr>
        <w:tc>
          <w:tcPr>
            <w:tcW w:w="825" w:type="dxa"/>
            <w:vMerge w:val="continue"/>
            <w:tcBorders>
              <w:left w:val="single" w:color="auto" w:sz="4" w:space="0"/>
              <w:right w:val="single" w:color="auto" w:sz="4" w:space="0"/>
            </w:tcBorders>
            <w:noWrap w:val="0"/>
            <w:vAlign w:val="center"/>
          </w:tcPr>
          <w:p w14:paraId="35009DF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423" w:type="dxa"/>
            <w:vMerge w:val="continue"/>
            <w:tcBorders>
              <w:left w:val="single" w:color="auto" w:sz="4" w:space="0"/>
              <w:right w:val="single" w:color="auto" w:sz="4" w:space="0"/>
            </w:tcBorders>
            <w:noWrap w:val="0"/>
            <w:vAlign w:val="center"/>
          </w:tcPr>
          <w:p w14:paraId="30F6D691">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5287" w:type="dxa"/>
            <w:tcBorders>
              <w:top w:val="single" w:color="auto" w:sz="4" w:space="0"/>
              <w:left w:val="single" w:color="auto" w:sz="4" w:space="0"/>
              <w:bottom w:val="single" w:color="auto" w:sz="4" w:space="0"/>
              <w:right w:val="single" w:color="auto" w:sz="4" w:space="0"/>
            </w:tcBorders>
            <w:noWrap w:val="0"/>
            <w:vAlign w:val="center"/>
          </w:tcPr>
          <w:p w14:paraId="4670A89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工程安全证明资料：</w:t>
            </w:r>
          </w:p>
          <w:p w14:paraId="1DE3E05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1.涉及主体和承重结构改动或增加荷载时，必须具有经原结构设计单位或具备相应资质设计单位的认可文件。（需审查原件）</w:t>
            </w:r>
          </w:p>
          <w:p w14:paraId="60CF5CC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2.大型吊灯安装的过载试验和相关隐蔽资料、构架节点图</w:t>
            </w:r>
          </w:p>
          <w:p w14:paraId="236550B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3.室内石材墙柱面干挂节点图、拉拔试验报告及其材料合格证、检测报告、隐蔽验收记录等</w:t>
            </w:r>
          </w:p>
        </w:tc>
        <w:tc>
          <w:tcPr>
            <w:tcW w:w="2212" w:type="dxa"/>
            <w:tcBorders>
              <w:top w:val="single" w:color="auto" w:sz="4" w:space="0"/>
              <w:left w:val="single" w:color="auto" w:sz="4" w:space="0"/>
              <w:bottom w:val="single" w:color="auto" w:sz="4" w:space="0"/>
              <w:right w:val="single" w:color="auto" w:sz="4" w:space="0"/>
            </w:tcBorders>
            <w:noWrap w:val="0"/>
            <w:vAlign w:val="center"/>
          </w:tcPr>
          <w:p w14:paraId="14B37DB9">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1.工程安全证明资料第一项不符合的扣20分。</w:t>
            </w:r>
          </w:p>
          <w:p w14:paraId="0C65CB1C">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2.其他项不符合的每项扣5-10分。</w:t>
            </w:r>
          </w:p>
        </w:tc>
        <w:tc>
          <w:tcPr>
            <w:tcW w:w="1701" w:type="dxa"/>
            <w:tcBorders>
              <w:left w:val="single" w:color="auto" w:sz="4" w:space="0"/>
              <w:right w:val="single" w:color="auto" w:sz="4" w:space="0"/>
            </w:tcBorders>
            <w:noWrap w:val="0"/>
            <w:vAlign w:val="center"/>
          </w:tcPr>
          <w:p w14:paraId="6BC20924">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工程安全证明资料是重要资料</w:t>
            </w:r>
          </w:p>
        </w:tc>
        <w:tc>
          <w:tcPr>
            <w:tcW w:w="851" w:type="dxa"/>
            <w:vMerge w:val="continue"/>
            <w:tcBorders>
              <w:left w:val="single" w:color="auto" w:sz="4" w:space="0"/>
              <w:right w:val="single" w:color="auto" w:sz="4" w:space="0"/>
            </w:tcBorders>
            <w:noWrap w:val="0"/>
            <w:vAlign w:val="center"/>
          </w:tcPr>
          <w:p w14:paraId="268F1922">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353E4D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bl>
    <w:p w14:paraId="110D2C4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sectPr>
          <w:footerReference r:id="rId7" w:type="default"/>
          <w:pgSz w:w="16838" w:h="11906" w:orient="landscape"/>
          <w:pgMar w:top="1440" w:right="1247" w:bottom="1440" w:left="1587" w:header="851" w:footer="992" w:gutter="0"/>
          <w:pgNumType w:fmt="numberInDash"/>
          <w:cols w:space="720" w:num="1"/>
          <w:docGrid w:type="lines" w:linePitch="312" w:charSpace="0"/>
        </w:sectPr>
      </w:pPr>
    </w:p>
    <w:tbl>
      <w:tblPr>
        <w:tblStyle w:val="25"/>
        <w:tblW w:w="14540"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1395"/>
        <w:gridCol w:w="5325"/>
        <w:gridCol w:w="2205"/>
        <w:gridCol w:w="1680"/>
        <w:gridCol w:w="840"/>
        <w:gridCol w:w="2265"/>
      </w:tblGrid>
      <w:tr w14:paraId="6CB7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0" w:type="dxa"/>
            <w:tcBorders>
              <w:left w:val="single" w:color="auto" w:sz="4" w:space="0"/>
              <w:bottom w:val="single" w:color="auto" w:sz="4" w:space="0"/>
              <w:right w:val="single" w:color="auto" w:sz="4" w:space="0"/>
            </w:tcBorders>
            <w:noWrap w:val="0"/>
            <w:vAlign w:val="center"/>
          </w:tcPr>
          <w:p w14:paraId="0032E4C5">
            <w:pPr>
              <w:pStyle w:val="3"/>
              <w:keepNext w:val="0"/>
              <w:keepLines w:val="0"/>
              <w:pageBreakBefore w:val="0"/>
              <w:widowControl w:val="0"/>
              <w:kinsoku/>
              <w:wordWrap/>
              <w:overflowPunct/>
              <w:topLinePunct w:val="0"/>
              <w:bidi w:val="0"/>
              <w:snapToGrid/>
              <w:spacing w:beforeLines="0" w:afterLines="0" w:line="240" w:lineRule="auto"/>
              <w:textAlignment w:val="auto"/>
              <w:rPr>
                <w:rFonts w:hint="eastAsia" w:ascii="方正仿宋_GB2312" w:hAnsi="方正仿宋_GB2312" w:eastAsia="方正仿宋_GB2312" w:cs="方正仿宋_GB2312"/>
                <w:spacing w:val="0"/>
              </w:rPr>
            </w:pPr>
          </w:p>
        </w:tc>
        <w:tc>
          <w:tcPr>
            <w:tcW w:w="1395" w:type="dxa"/>
            <w:tcBorders>
              <w:left w:val="single" w:color="auto" w:sz="4" w:space="0"/>
              <w:right w:val="single" w:color="auto" w:sz="4" w:space="0"/>
            </w:tcBorders>
            <w:noWrap w:val="0"/>
            <w:vAlign w:val="center"/>
          </w:tcPr>
          <w:p w14:paraId="6B7DB9D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7F9716A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材质证明：</w:t>
            </w:r>
          </w:p>
          <w:p w14:paraId="046E730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主要</w:t>
            </w:r>
            <w:r>
              <w:rPr>
                <w:rFonts w:hint="eastAsia" w:ascii="方正仿宋_GB2312" w:hAnsi="方正仿宋_GB2312" w:eastAsia="方正仿宋_GB2312" w:cs="方正仿宋_GB2312"/>
                <w:spacing w:val="-6"/>
                <w:sz w:val="21"/>
                <w:szCs w:val="21"/>
              </w:rPr>
              <w:t>装饰材料的合格证、检测报告及复试报告，主要包括：</w:t>
            </w:r>
          </w:p>
          <w:p w14:paraId="4E7B2DE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1.花岗石（＞200㎡）放射性复试</w:t>
            </w:r>
          </w:p>
          <w:p w14:paraId="0B5652B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2.瓷质砖（＞200㎡）放射性复试</w:t>
            </w:r>
          </w:p>
          <w:p w14:paraId="45EC40A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3.人造板（＞500㎡）甲醛复试</w:t>
            </w:r>
          </w:p>
          <w:p w14:paraId="64B3F2C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4.安全玻璃强制认证（3C证书）</w:t>
            </w:r>
          </w:p>
          <w:p w14:paraId="044A96A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5.防水材料复试</w:t>
            </w:r>
          </w:p>
          <w:p w14:paraId="015349E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6.水性涂料、水性胶粘剂、水性处理剂VOCs、游离甲醛含量检测报告</w:t>
            </w:r>
          </w:p>
          <w:p w14:paraId="6B357D6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7.溶剂型涂料、溶剂型胶粘剂VOCs、苯、TDI检测报告</w:t>
            </w:r>
          </w:p>
          <w:p w14:paraId="350F852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8.后置锚栓拉拔试验报告</w:t>
            </w:r>
          </w:p>
          <w:p w14:paraId="0CF367A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9.壁布、海绵、岩棉、地毯、木地板、细木工板等材料阻燃复试报告</w:t>
            </w:r>
          </w:p>
          <w:p w14:paraId="5AB4F15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10.环氧树脂AB胶力学性能复试报告</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2EB33DA">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1.一般性缺项每项扣0.1-0.2分；</w:t>
            </w:r>
          </w:p>
          <w:p w14:paraId="1E743A4C">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2.重点缺项每项扣0.2-0.5分。</w:t>
            </w:r>
          </w:p>
        </w:tc>
        <w:tc>
          <w:tcPr>
            <w:tcW w:w="1680" w:type="dxa"/>
            <w:tcBorders>
              <w:left w:val="single" w:color="auto" w:sz="4" w:space="0"/>
              <w:right w:val="single" w:color="auto" w:sz="4" w:space="0"/>
            </w:tcBorders>
            <w:noWrap w:val="0"/>
            <w:vAlign w:val="center"/>
          </w:tcPr>
          <w:p w14:paraId="07000C4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40" w:type="dxa"/>
            <w:tcBorders>
              <w:left w:val="single" w:color="auto" w:sz="4" w:space="0"/>
              <w:right w:val="single" w:color="auto" w:sz="4" w:space="0"/>
            </w:tcBorders>
            <w:noWrap w:val="0"/>
            <w:vAlign w:val="center"/>
          </w:tcPr>
          <w:p w14:paraId="7BBD0484">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65" w:type="dxa"/>
            <w:tcBorders>
              <w:top w:val="single" w:color="auto" w:sz="4" w:space="0"/>
              <w:left w:val="single" w:color="auto" w:sz="4" w:space="0"/>
              <w:bottom w:val="single" w:color="auto" w:sz="4" w:space="0"/>
              <w:right w:val="single" w:color="auto" w:sz="4" w:space="0"/>
            </w:tcBorders>
            <w:noWrap w:val="0"/>
            <w:vAlign w:val="center"/>
          </w:tcPr>
          <w:p w14:paraId="155C144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r w14:paraId="4E1B4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trPr>
        <w:tc>
          <w:tcPr>
            <w:tcW w:w="830" w:type="dxa"/>
            <w:vMerge w:val="restart"/>
            <w:tcBorders>
              <w:top w:val="single" w:color="auto" w:sz="4" w:space="0"/>
              <w:left w:val="single" w:color="auto" w:sz="4" w:space="0"/>
              <w:right w:val="single" w:color="auto" w:sz="4" w:space="0"/>
            </w:tcBorders>
            <w:noWrap w:val="0"/>
            <w:vAlign w:val="center"/>
          </w:tcPr>
          <w:p w14:paraId="03AEF1F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tc>
        <w:tc>
          <w:tcPr>
            <w:tcW w:w="1395" w:type="dxa"/>
            <w:vMerge w:val="restart"/>
            <w:tcBorders>
              <w:left w:val="single" w:color="auto" w:sz="4" w:space="0"/>
              <w:right w:val="single" w:color="auto" w:sz="4" w:space="0"/>
            </w:tcBorders>
            <w:noWrap w:val="0"/>
            <w:vAlign w:val="center"/>
          </w:tcPr>
          <w:p w14:paraId="5082C524">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1A5BC5B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施工组织设计及危险性较大分部分项工程论证报告：</w:t>
            </w:r>
          </w:p>
          <w:p w14:paraId="7BF52D2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1.施工组织设计</w:t>
            </w:r>
          </w:p>
          <w:p w14:paraId="4476343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2.与工程相关的专项方案</w:t>
            </w:r>
          </w:p>
          <w:p w14:paraId="5F6021DB">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3.危险性较大分部分项工程论证报告</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55B58F5">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1.一般性缺项每项扣0.1-0.2分；</w:t>
            </w:r>
          </w:p>
          <w:p w14:paraId="3F582737">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2.重点缺项每项扣0.2-0.5分。</w:t>
            </w:r>
          </w:p>
        </w:tc>
        <w:tc>
          <w:tcPr>
            <w:tcW w:w="1680" w:type="dxa"/>
            <w:tcBorders>
              <w:left w:val="single" w:color="auto" w:sz="4" w:space="0"/>
              <w:right w:val="single" w:color="auto" w:sz="4" w:space="0"/>
            </w:tcBorders>
            <w:noWrap w:val="0"/>
            <w:vAlign w:val="center"/>
          </w:tcPr>
          <w:p w14:paraId="32E2DD59">
            <w:pPr>
              <w:keepNext w:val="0"/>
              <w:keepLines w:val="0"/>
              <w:pageBreakBefore w:val="0"/>
              <w:widowControl w:val="0"/>
              <w:kinsoku/>
              <w:wordWrap/>
              <w:overflowPunct/>
              <w:topLinePunct w:val="0"/>
              <w:bidi w:val="0"/>
              <w:snapToGrid/>
              <w:spacing w:line="240" w:lineRule="auto"/>
              <w:ind w:left="260" w:hanging="260" w:hangingChars="124"/>
              <w:jc w:val="center"/>
              <w:textAlignment w:val="auto"/>
              <w:rPr>
                <w:rFonts w:hint="eastAsia" w:ascii="方正仿宋_GB2312" w:hAnsi="方正仿宋_GB2312" w:eastAsia="方正仿宋_GB2312" w:cs="方正仿宋_GB2312"/>
                <w:spacing w:val="0"/>
                <w:szCs w:val="21"/>
              </w:rPr>
            </w:pPr>
          </w:p>
        </w:tc>
        <w:tc>
          <w:tcPr>
            <w:tcW w:w="840" w:type="dxa"/>
            <w:vMerge w:val="restart"/>
            <w:tcBorders>
              <w:left w:val="single" w:color="auto" w:sz="4" w:space="0"/>
              <w:right w:val="single" w:color="auto" w:sz="4" w:space="0"/>
            </w:tcBorders>
            <w:noWrap w:val="0"/>
            <w:vAlign w:val="center"/>
          </w:tcPr>
          <w:p w14:paraId="22DF0654">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65" w:type="dxa"/>
            <w:tcBorders>
              <w:top w:val="single" w:color="auto" w:sz="4" w:space="0"/>
              <w:left w:val="single" w:color="auto" w:sz="4" w:space="0"/>
              <w:bottom w:val="single" w:color="auto" w:sz="4" w:space="0"/>
              <w:right w:val="single" w:color="auto" w:sz="4" w:space="0"/>
            </w:tcBorders>
            <w:noWrap w:val="0"/>
            <w:vAlign w:val="center"/>
          </w:tcPr>
          <w:p w14:paraId="206CFB1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r w14:paraId="7490A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3" w:hRule="atLeast"/>
        </w:trPr>
        <w:tc>
          <w:tcPr>
            <w:tcW w:w="830" w:type="dxa"/>
            <w:vMerge w:val="continue"/>
            <w:tcBorders>
              <w:left w:val="single" w:color="auto" w:sz="4" w:space="0"/>
              <w:right w:val="single" w:color="auto" w:sz="4" w:space="0"/>
            </w:tcBorders>
            <w:noWrap w:val="0"/>
            <w:vAlign w:val="center"/>
          </w:tcPr>
          <w:p w14:paraId="789C10FB">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395" w:type="dxa"/>
            <w:vMerge w:val="continue"/>
            <w:tcBorders>
              <w:left w:val="single" w:color="auto" w:sz="4" w:space="0"/>
              <w:right w:val="single" w:color="auto" w:sz="4" w:space="0"/>
            </w:tcBorders>
            <w:noWrap w:val="0"/>
            <w:vAlign w:val="center"/>
          </w:tcPr>
          <w:p w14:paraId="2E7D8C7C">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37BD42C8">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b/>
                <w:bCs/>
                <w:spacing w:val="0"/>
                <w:szCs w:val="21"/>
              </w:rPr>
              <w:t>技术交底：</w:t>
            </w:r>
            <w:r>
              <w:rPr>
                <w:rFonts w:hint="eastAsia" w:ascii="方正仿宋_GB2312" w:hAnsi="方正仿宋_GB2312" w:eastAsia="方正仿宋_GB2312" w:cs="方正仿宋_GB2312"/>
                <w:spacing w:val="0"/>
                <w:szCs w:val="21"/>
              </w:rPr>
              <w:t>技术交底内容、交底人和被交底人签字、</w:t>
            </w:r>
          </w:p>
          <w:p w14:paraId="1E43A4F4">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日期是否齐全，重点包括：</w:t>
            </w:r>
          </w:p>
          <w:p w14:paraId="2FBD665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1.干挂石材</w:t>
            </w:r>
          </w:p>
          <w:p w14:paraId="4053F85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2.干挂瓷砖</w:t>
            </w:r>
          </w:p>
          <w:p w14:paraId="7155F64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3.过顶石</w:t>
            </w:r>
          </w:p>
          <w:p w14:paraId="17C3FA3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4.镜面顶</w:t>
            </w:r>
          </w:p>
          <w:p w14:paraId="57CAF85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5.玻璃顶</w:t>
            </w:r>
          </w:p>
          <w:p w14:paraId="347171B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6.栏杆</w:t>
            </w:r>
          </w:p>
          <w:p w14:paraId="7A62A8D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7.玻璃护栏</w:t>
            </w:r>
          </w:p>
          <w:p w14:paraId="47DFD27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8.大型灯具安装</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5E0E79B1">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1.一般性缺项每项扣0.1-0.2分；</w:t>
            </w:r>
          </w:p>
          <w:p w14:paraId="3E7A2E7F">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2.重点缺项每项扣0.2-0.5分。</w:t>
            </w:r>
          </w:p>
        </w:tc>
        <w:tc>
          <w:tcPr>
            <w:tcW w:w="1680" w:type="dxa"/>
            <w:tcBorders>
              <w:left w:val="single" w:color="auto" w:sz="4" w:space="0"/>
              <w:right w:val="single" w:color="auto" w:sz="4" w:space="0"/>
            </w:tcBorders>
            <w:noWrap w:val="0"/>
            <w:vAlign w:val="center"/>
          </w:tcPr>
          <w:p w14:paraId="4725765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40" w:type="dxa"/>
            <w:vMerge w:val="continue"/>
            <w:tcBorders>
              <w:left w:val="single" w:color="auto" w:sz="4" w:space="0"/>
              <w:right w:val="single" w:color="auto" w:sz="4" w:space="0"/>
            </w:tcBorders>
            <w:noWrap w:val="0"/>
            <w:vAlign w:val="center"/>
          </w:tcPr>
          <w:p w14:paraId="03B6D86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65" w:type="dxa"/>
            <w:tcBorders>
              <w:top w:val="single" w:color="auto" w:sz="4" w:space="0"/>
              <w:left w:val="single" w:color="auto" w:sz="4" w:space="0"/>
              <w:bottom w:val="single" w:color="auto" w:sz="4" w:space="0"/>
              <w:right w:val="single" w:color="auto" w:sz="4" w:space="0"/>
            </w:tcBorders>
            <w:noWrap w:val="0"/>
            <w:vAlign w:val="center"/>
          </w:tcPr>
          <w:p w14:paraId="5A19218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bl>
    <w:p w14:paraId="6CC855C1">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sectPr>
          <w:footerReference r:id="rId8" w:type="default"/>
          <w:pgSz w:w="16838" w:h="11906" w:orient="landscape"/>
          <w:pgMar w:top="1440" w:right="1247" w:bottom="1440" w:left="1587" w:header="851" w:footer="992" w:gutter="0"/>
          <w:pgNumType w:fmt="numberInDash"/>
          <w:cols w:space="720" w:num="1"/>
          <w:docGrid w:type="lines" w:linePitch="312" w:charSpace="0"/>
        </w:sectPr>
      </w:pPr>
    </w:p>
    <w:tbl>
      <w:tblPr>
        <w:tblStyle w:val="25"/>
        <w:tblW w:w="1452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380"/>
        <w:gridCol w:w="5325"/>
        <w:gridCol w:w="2205"/>
        <w:gridCol w:w="1680"/>
        <w:gridCol w:w="855"/>
        <w:gridCol w:w="2235"/>
      </w:tblGrid>
      <w:tr w14:paraId="1553D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6" w:hRule="atLeast"/>
        </w:trPr>
        <w:tc>
          <w:tcPr>
            <w:tcW w:w="845" w:type="dxa"/>
            <w:vMerge w:val="restart"/>
            <w:tcBorders>
              <w:left w:val="single" w:color="auto" w:sz="4" w:space="0"/>
              <w:right w:val="single" w:color="auto" w:sz="4" w:space="0"/>
            </w:tcBorders>
            <w:noWrap w:val="0"/>
            <w:vAlign w:val="center"/>
          </w:tcPr>
          <w:p w14:paraId="504FC081">
            <w:pPr>
              <w:pStyle w:val="3"/>
              <w:keepNext w:val="0"/>
              <w:keepLines w:val="0"/>
              <w:pageBreakBefore w:val="0"/>
              <w:widowControl w:val="0"/>
              <w:kinsoku/>
              <w:wordWrap/>
              <w:overflowPunct/>
              <w:topLinePunct w:val="0"/>
              <w:bidi w:val="0"/>
              <w:snapToGrid/>
              <w:spacing w:beforeLines="0" w:afterLines="0" w:line="240" w:lineRule="auto"/>
              <w:textAlignment w:val="auto"/>
              <w:rPr>
                <w:rFonts w:hint="eastAsia" w:ascii="方正仿宋_GB2312" w:hAnsi="方正仿宋_GB2312" w:eastAsia="方正仿宋_GB2312" w:cs="方正仿宋_GB2312"/>
                <w:spacing w:val="0"/>
              </w:rPr>
            </w:pPr>
          </w:p>
        </w:tc>
        <w:tc>
          <w:tcPr>
            <w:tcW w:w="1380" w:type="dxa"/>
            <w:vMerge w:val="restart"/>
            <w:tcBorders>
              <w:left w:val="single" w:color="auto" w:sz="4" w:space="0"/>
              <w:right w:val="single" w:color="auto" w:sz="4" w:space="0"/>
            </w:tcBorders>
            <w:noWrap w:val="0"/>
            <w:vAlign w:val="center"/>
          </w:tcPr>
          <w:p w14:paraId="0481D47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0E30679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隐检记录：</w:t>
            </w:r>
          </w:p>
          <w:p w14:paraId="62EAF0C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隐蔽验收内容、签字、日期是否齐全，是否附图和照片，重点包括：</w:t>
            </w:r>
          </w:p>
          <w:p w14:paraId="6C3D613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1.吊顶隐蔽验收；</w:t>
            </w:r>
          </w:p>
          <w:p w14:paraId="634A588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2.墙面干挂隐蔽验收；</w:t>
            </w:r>
          </w:p>
          <w:p w14:paraId="29D4ED5D">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3.镜面顶、玻璃墙面隐蔽验收；</w:t>
            </w:r>
          </w:p>
          <w:p w14:paraId="3B822F5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4.过顶石、大型吊灯安装隐蔽验收；</w:t>
            </w:r>
          </w:p>
          <w:p w14:paraId="63A8157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5.护栏、扶手隐蔽验收；</w:t>
            </w:r>
          </w:p>
          <w:p w14:paraId="539CE53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6.蓄水试验（一次、二次）。</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7E36517">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1.一般性缺项每项扣0.1-0.2分；</w:t>
            </w:r>
          </w:p>
          <w:p w14:paraId="3690E87C">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2.重点缺项每项扣0.2-0.5分</w:t>
            </w:r>
          </w:p>
        </w:tc>
        <w:tc>
          <w:tcPr>
            <w:tcW w:w="1680" w:type="dxa"/>
            <w:tcBorders>
              <w:left w:val="single" w:color="auto" w:sz="4" w:space="0"/>
              <w:right w:val="single" w:color="auto" w:sz="4" w:space="0"/>
            </w:tcBorders>
            <w:noWrap w:val="0"/>
            <w:vAlign w:val="center"/>
          </w:tcPr>
          <w:p w14:paraId="0C2B10C8">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5" w:type="dxa"/>
            <w:vMerge w:val="restart"/>
            <w:tcBorders>
              <w:left w:val="single" w:color="auto" w:sz="4" w:space="0"/>
              <w:right w:val="single" w:color="auto" w:sz="4" w:space="0"/>
            </w:tcBorders>
            <w:noWrap w:val="0"/>
            <w:vAlign w:val="center"/>
          </w:tcPr>
          <w:p w14:paraId="575296F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35" w:type="dxa"/>
            <w:tcBorders>
              <w:top w:val="single" w:color="auto" w:sz="4" w:space="0"/>
              <w:left w:val="single" w:color="auto" w:sz="4" w:space="0"/>
              <w:bottom w:val="single" w:color="auto" w:sz="4" w:space="0"/>
              <w:right w:val="single" w:color="auto" w:sz="4" w:space="0"/>
            </w:tcBorders>
            <w:noWrap w:val="0"/>
            <w:vAlign w:val="center"/>
          </w:tcPr>
          <w:p w14:paraId="50B6F0E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r w14:paraId="56931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atLeast"/>
        </w:trPr>
        <w:tc>
          <w:tcPr>
            <w:tcW w:w="845" w:type="dxa"/>
            <w:vMerge w:val="continue"/>
            <w:tcBorders>
              <w:left w:val="single" w:color="auto" w:sz="4" w:space="0"/>
              <w:right w:val="single" w:color="auto" w:sz="4" w:space="0"/>
            </w:tcBorders>
            <w:noWrap w:val="0"/>
            <w:vAlign w:val="center"/>
          </w:tcPr>
          <w:p w14:paraId="3F905E3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380" w:type="dxa"/>
            <w:vMerge w:val="continue"/>
            <w:tcBorders>
              <w:left w:val="single" w:color="auto" w:sz="4" w:space="0"/>
              <w:right w:val="single" w:color="auto" w:sz="4" w:space="0"/>
            </w:tcBorders>
            <w:noWrap w:val="0"/>
            <w:vAlign w:val="center"/>
          </w:tcPr>
          <w:p w14:paraId="31E462D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27937D20">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质量验收：</w:t>
            </w:r>
          </w:p>
          <w:p w14:paraId="5B18A742">
            <w:pPr>
              <w:keepNext w:val="0"/>
              <w:keepLines w:val="0"/>
              <w:pageBreakBefore w:val="0"/>
              <w:widowControl w:val="0"/>
              <w:tabs>
                <w:tab w:val="left" w:pos="360"/>
              </w:tabs>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1.检验批验收；</w:t>
            </w:r>
          </w:p>
          <w:p w14:paraId="44109451">
            <w:pPr>
              <w:keepNext w:val="0"/>
              <w:keepLines w:val="0"/>
              <w:pageBreakBefore w:val="0"/>
              <w:widowControl w:val="0"/>
              <w:tabs>
                <w:tab w:val="left" w:pos="360"/>
              </w:tabs>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2.分项、子分项验收；</w:t>
            </w:r>
          </w:p>
          <w:p w14:paraId="03F13877">
            <w:pPr>
              <w:keepNext w:val="0"/>
              <w:keepLines w:val="0"/>
              <w:pageBreakBefore w:val="0"/>
              <w:widowControl w:val="0"/>
              <w:tabs>
                <w:tab w:val="left" w:pos="360"/>
              </w:tabs>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3.分部、子分部验收。</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563C52BB">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1.一般性缺项每项扣0.1-0.2分；</w:t>
            </w:r>
          </w:p>
          <w:p w14:paraId="467ABA50">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2.重点缺项每项扣0.2-0.5分</w:t>
            </w:r>
          </w:p>
        </w:tc>
        <w:tc>
          <w:tcPr>
            <w:tcW w:w="1680" w:type="dxa"/>
            <w:tcBorders>
              <w:left w:val="single" w:color="auto" w:sz="4" w:space="0"/>
              <w:right w:val="single" w:color="auto" w:sz="4" w:space="0"/>
            </w:tcBorders>
            <w:noWrap w:val="0"/>
            <w:vAlign w:val="center"/>
          </w:tcPr>
          <w:p w14:paraId="6448057B">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5" w:type="dxa"/>
            <w:vMerge w:val="continue"/>
            <w:tcBorders>
              <w:left w:val="single" w:color="auto" w:sz="4" w:space="0"/>
              <w:right w:val="single" w:color="auto" w:sz="4" w:space="0"/>
            </w:tcBorders>
            <w:noWrap w:val="0"/>
            <w:vAlign w:val="center"/>
          </w:tcPr>
          <w:p w14:paraId="169FE60C">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35" w:type="dxa"/>
            <w:tcBorders>
              <w:top w:val="single" w:color="auto" w:sz="4" w:space="0"/>
              <w:left w:val="single" w:color="auto" w:sz="4" w:space="0"/>
              <w:bottom w:val="single" w:color="auto" w:sz="4" w:space="0"/>
              <w:right w:val="single" w:color="auto" w:sz="4" w:space="0"/>
            </w:tcBorders>
            <w:noWrap w:val="0"/>
            <w:vAlign w:val="center"/>
          </w:tcPr>
          <w:p w14:paraId="783F06B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r w14:paraId="236D9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8" w:hRule="atLeast"/>
        </w:trPr>
        <w:tc>
          <w:tcPr>
            <w:tcW w:w="845" w:type="dxa"/>
            <w:vMerge w:val="continue"/>
            <w:tcBorders>
              <w:left w:val="single" w:color="auto" w:sz="4" w:space="0"/>
              <w:right w:val="single" w:color="auto" w:sz="4" w:space="0"/>
            </w:tcBorders>
            <w:noWrap w:val="0"/>
            <w:vAlign w:val="center"/>
          </w:tcPr>
          <w:p w14:paraId="6E78F5D4">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380" w:type="dxa"/>
            <w:vMerge w:val="continue"/>
            <w:tcBorders>
              <w:left w:val="single" w:color="auto" w:sz="4" w:space="0"/>
              <w:right w:val="single" w:color="auto" w:sz="4" w:space="0"/>
            </w:tcBorders>
            <w:noWrap w:val="0"/>
            <w:vAlign w:val="center"/>
          </w:tcPr>
          <w:p w14:paraId="60E56B7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26E2A86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施工日志：</w:t>
            </w:r>
          </w:p>
          <w:p w14:paraId="4F4EE68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1.施工日志字迹清楚、内容齐全；</w:t>
            </w:r>
          </w:p>
          <w:p w14:paraId="687EDC0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2.施工日志内容准确、真实、具体、不缺失；</w:t>
            </w:r>
          </w:p>
          <w:p w14:paraId="0557701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3.施工日志日期与其他相关资料报验日期的吻合性。</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56B46D8">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1.一般性缺项每项扣0.1-0.2分；</w:t>
            </w:r>
          </w:p>
          <w:p w14:paraId="1E1D96EC">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2.重点缺项每项扣0.2-0.5分</w:t>
            </w:r>
          </w:p>
        </w:tc>
        <w:tc>
          <w:tcPr>
            <w:tcW w:w="1680" w:type="dxa"/>
            <w:tcBorders>
              <w:left w:val="single" w:color="auto" w:sz="4" w:space="0"/>
              <w:right w:val="single" w:color="auto" w:sz="4" w:space="0"/>
            </w:tcBorders>
            <w:noWrap w:val="0"/>
            <w:vAlign w:val="center"/>
          </w:tcPr>
          <w:p w14:paraId="218D5239">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5" w:type="dxa"/>
            <w:vMerge w:val="continue"/>
            <w:tcBorders>
              <w:left w:val="single" w:color="auto" w:sz="4" w:space="0"/>
              <w:right w:val="single" w:color="auto" w:sz="4" w:space="0"/>
            </w:tcBorders>
            <w:noWrap w:val="0"/>
            <w:vAlign w:val="center"/>
          </w:tcPr>
          <w:p w14:paraId="7BEAFEA9">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35" w:type="dxa"/>
            <w:tcBorders>
              <w:top w:val="single" w:color="auto" w:sz="4" w:space="0"/>
              <w:left w:val="single" w:color="auto" w:sz="4" w:space="0"/>
              <w:bottom w:val="single" w:color="auto" w:sz="4" w:space="0"/>
              <w:right w:val="single" w:color="auto" w:sz="4" w:space="0"/>
            </w:tcBorders>
            <w:noWrap w:val="0"/>
            <w:vAlign w:val="center"/>
          </w:tcPr>
          <w:p w14:paraId="551FDA1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r w14:paraId="2EF63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trPr>
        <w:tc>
          <w:tcPr>
            <w:tcW w:w="845" w:type="dxa"/>
            <w:vMerge w:val="restart"/>
            <w:tcBorders>
              <w:left w:val="single" w:color="auto" w:sz="4" w:space="0"/>
              <w:right w:val="single" w:color="auto" w:sz="4" w:space="0"/>
            </w:tcBorders>
            <w:noWrap w:val="0"/>
            <w:vAlign w:val="center"/>
          </w:tcPr>
          <w:p w14:paraId="6792A6FF">
            <w:pPr>
              <w:pStyle w:val="3"/>
              <w:keepNext w:val="0"/>
              <w:keepLines w:val="0"/>
              <w:pageBreakBefore w:val="0"/>
              <w:widowControl w:val="0"/>
              <w:kinsoku/>
              <w:wordWrap/>
              <w:overflowPunct/>
              <w:topLinePunct w:val="0"/>
              <w:bidi w:val="0"/>
              <w:snapToGrid/>
              <w:spacing w:beforeLines="0" w:afterLines="0" w:line="240" w:lineRule="auto"/>
              <w:textAlignment w:val="auto"/>
              <w:rPr>
                <w:rFonts w:hint="eastAsia" w:ascii="方正仿宋_GB2312" w:hAnsi="方正仿宋_GB2312" w:eastAsia="方正仿宋_GB2312" w:cs="方正仿宋_GB2312"/>
                <w:spacing w:val="0"/>
              </w:rPr>
            </w:pPr>
          </w:p>
        </w:tc>
        <w:tc>
          <w:tcPr>
            <w:tcW w:w="1380" w:type="dxa"/>
            <w:vMerge w:val="restart"/>
            <w:tcBorders>
              <w:left w:val="single" w:color="auto" w:sz="4" w:space="0"/>
              <w:right w:val="single" w:color="auto" w:sz="4" w:space="0"/>
            </w:tcBorders>
            <w:noWrap w:val="0"/>
            <w:vAlign w:val="center"/>
          </w:tcPr>
          <w:p w14:paraId="5F6843F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39C88A3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节能设计：</w:t>
            </w:r>
          </w:p>
          <w:p w14:paraId="717D21E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工程是否体现节能的设计理念，如绿色照明技术应用（节能灯）等节能，节水节材，节地设计，充分利用自然资源的设计。</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31EFE06">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未体现扣0.2分</w:t>
            </w:r>
          </w:p>
        </w:tc>
        <w:tc>
          <w:tcPr>
            <w:tcW w:w="1680" w:type="dxa"/>
            <w:tcBorders>
              <w:left w:val="single" w:color="auto" w:sz="4" w:space="0"/>
              <w:right w:val="single" w:color="auto" w:sz="4" w:space="0"/>
            </w:tcBorders>
            <w:noWrap w:val="0"/>
            <w:vAlign w:val="center"/>
          </w:tcPr>
          <w:p w14:paraId="7D063CB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5" w:type="dxa"/>
            <w:vMerge w:val="restart"/>
            <w:tcBorders>
              <w:left w:val="single" w:color="auto" w:sz="4" w:space="0"/>
              <w:right w:val="single" w:color="auto" w:sz="4" w:space="0"/>
            </w:tcBorders>
            <w:noWrap w:val="0"/>
            <w:vAlign w:val="center"/>
          </w:tcPr>
          <w:p w14:paraId="6F6CBD49">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35" w:type="dxa"/>
            <w:tcBorders>
              <w:top w:val="single" w:color="auto" w:sz="4" w:space="0"/>
              <w:left w:val="single" w:color="auto" w:sz="4" w:space="0"/>
              <w:bottom w:val="single" w:color="auto" w:sz="4" w:space="0"/>
              <w:right w:val="single" w:color="auto" w:sz="4" w:space="0"/>
            </w:tcBorders>
            <w:noWrap w:val="0"/>
            <w:vAlign w:val="center"/>
          </w:tcPr>
          <w:p w14:paraId="7E88223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r w14:paraId="0F4DF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1" w:hRule="atLeast"/>
        </w:trPr>
        <w:tc>
          <w:tcPr>
            <w:tcW w:w="845" w:type="dxa"/>
            <w:vMerge w:val="continue"/>
            <w:tcBorders>
              <w:left w:val="single" w:color="auto" w:sz="4" w:space="0"/>
              <w:right w:val="single" w:color="auto" w:sz="4" w:space="0"/>
            </w:tcBorders>
            <w:noWrap w:val="0"/>
            <w:vAlign w:val="center"/>
          </w:tcPr>
          <w:p w14:paraId="0FEE1C5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380" w:type="dxa"/>
            <w:vMerge w:val="continue"/>
            <w:tcBorders>
              <w:left w:val="single" w:color="auto" w:sz="4" w:space="0"/>
              <w:bottom w:val="single" w:color="auto" w:sz="4" w:space="0"/>
              <w:right w:val="single" w:color="auto" w:sz="4" w:space="0"/>
            </w:tcBorders>
            <w:noWrap w:val="0"/>
            <w:vAlign w:val="center"/>
          </w:tcPr>
          <w:p w14:paraId="30811EE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2EE72CC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竣工图纸：</w:t>
            </w:r>
          </w:p>
          <w:p w14:paraId="47ED7C7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是否组卷成册，重点节点部位是否清晰完整，重点包括：</w:t>
            </w:r>
          </w:p>
          <w:p w14:paraId="06C3114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1.竣工图章、签字是否齐全有效；</w:t>
            </w:r>
          </w:p>
          <w:p w14:paraId="50BC4D6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2.竣工图引用规范是否合理、有效；</w:t>
            </w:r>
          </w:p>
          <w:p w14:paraId="286F6A6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3.竣工图局部是否与实际相符；</w:t>
            </w:r>
          </w:p>
          <w:p w14:paraId="7C883B2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4.重点部位的节点图是否清晰完整；</w:t>
            </w:r>
          </w:p>
          <w:p w14:paraId="4E83A28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5.大型吊灯安装节点；</w:t>
            </w:r>
          </w:p>
          <w:p w14:paraId="6E9A4E6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6.楼梯扶手、玻璃栏杆节点详图；</w:t>
            </w:r>
          </w:p>
          <w:p w14:paraId="27791F6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7.镜面、玻璃安装详图；</w:t>
            </w:r>
          </w:p>
          <w:p w14:paraId="5E55868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8.墙面干挂钢结构详图；</w:t>
            </w:r>
          </w:p>
          <w:p w14:paraId="6573F91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9.钢材、螺栓及其它配件标注情况；</w:t>
            </w:r>
          </w:p>
          <w:p w14:paraId="6E0A1EA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10.变形缝节点详图；</w:t>
            </w:r>
          </w:p>
          <w:p w14:paraId="264FCEB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11.改动建筑主体、承重结构、增加结构荷载设计图纸；</w:t>
            </w:r>
          </w:p>
          <w:p w14:paraId="51C73D4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12.落地窗处防护处理节点；</w:t>
            </w:r>
          </w:p>
          <w:p w14:paraId="04A8F72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13.石材消火箱门构造节点详图；</w:t>
            </w:r>
          </w:p>
          <w:p w14:paraId="102B347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14.超高吊顶增加钢转换层详图；</w:t>
            </w:r>
          </w:p>
          <w:p w14:paraId="00880D7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15.卫生间钢架节点图；</w:t>
            </w:r>
          </w:p>
          <w:p w14:paraId="2FFFBD1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16.其他强制性条文要求。</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1AF93B4">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1.一般性缺项每项扣0.1-0.2分；</w:t>
            </w:r>
          </w:p>
          <w:p w14:paraId="15F6F60D">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2.重点缺项每项扣0.2-0.5分</w:t>
            </w:r>
          </w:p>
        </w:tc>
        <w:tc>
          <w:tcPr>
            <w:tcW w:w="1680" w:type="dxa"/>
            <w:tcBorders>
              <w:left w:val="single" w:color="auto" w:sz="4" w:space="0"/>
              <w:bottom w:val="single" w:color="auto" w:sz="4" w:space="0"/>
              <w:right w:val="single" w:color="auto" w:sz="4" w:space="0"/>
            </w:tcBorders>
            <w:noWrap w:val="0"/>
            <w:vAlign w:val="center"/>
          </w:tcPr>
          <w:p w14:paraId="6A090F0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5" w:type="dxa"/>
            <w:vMerge w:val="continue"/>
            <w:tcBorders>
              <w:left w:val="single" w:color="auto" w:sz="4" w:space="0"/>
              <w:bottom w:val="single" w:color="auto" w:sz="4" w:space="0"/>
              <w:right w:val="single" w:color="auto" w:sz="4" w:space="0"/>
            </w:tcBorders>
            <w:noWrap w:val="0"/>
            <w:vAlign w:val="center"/>
          </w:tcPr>
          <w:p w14:paraId="786685D8">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35" w:type="dxa"/>
            <w:tcBorders>
              <w:top w:val="single" w:color="auto" w:sz="4" w:space="0"/>
              <w:left w:val="single" w:color="auto" w:sz="4" w:space="0"/>
              <w:bottom w:val="single" w:color="auto" w:sz="4" w:space="0"/>
              <w:right w:val="single" w:color="auto" w:sz="4" w:space="0"/>
            </w:tcBorders>
            <w:noWrap w:val="0"/>
            <w:vAlign w:val="center"/>
          </w:tcPr>
          <w:p w14:paraId="622AC6D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r w14:paraId="7BAA3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9" w:hRule="atLeast"/>
        </w:trPr>
        <w:tc>
          <w:tcPr>
            <w:tcW w:w="845" w:type="dxa"/>
            <w:vMerge w:val="restart"/>
            <w:tcBorders>
              <w:left w:val="single" w:color="auto" w:sz="4" w:space="0"/>
              <w:right w:val="single" w:color="auto" w:sz="4" w:space="0"/>
            </w:tcBorders>
            <w:noWrap w:val="0"/>
            <w:vAlign w:val="center"/>
          </w:tcPr>
          <w:p w14:paraId="2C931C5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w:t>
            </w:r>
          </w:p>
        </w:tc>
        <w:tc>
          <w:tcPr>
            <w:tcW w:w="1380" w:type="dxa"/>
            <w:vMerge w:val="restart"/>
            <w:tcBorders>
              <w:top w:val="single" w:color="auto" w:sz="4" w:space="0"/>
              <w:left w:val="single" w:color="auto" w:sz="4" w:space="0"/>
              <w:right w:val="single" w:color="auto" w:sz="4" w:space="0"/>
            </w:tcBorders>
            <w:noWrap w:val="0"/>
            <w:vAlign w:val="center"/>
          </w:tcPr>
          <w:p w14:paraId="275B21F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工程实体</w:t>
            </w:r>
          </w:p>
        </w:tc>
        <w:tc>
          <w:tcPr>
            <w:tcW w:w="5325" w:type="dxa"/>
            <w:tcBorders>
              <w:top w:val="single" w:color="auto" w:sz="4" w:space="0"/>
              <w:left w:val="single" w:color="auto" w:sz="4" w:space="0"/>
              <w:right w:val="single" w:color="auto" w:sz="4" w:space="0"/>
            </w:tcBorders>
            <w:noWrap w:val="0"/>
            <w:vAlign w:val="center"/>
          </w:tcPr>
          <w:p w14:paraId="45ECCDC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整体装饰效果：</w:t>
            </w:r>
          </w:p>
          <w:p w14:paraId="2A371BC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1.整体装饰效果主要涉及工程的设计风格，空间运用，材质品质、颜色搭配等内容，是否能给人耳目一新或记忆深刻的综合观感效果；</w:t>
            </w:r>
          </w:p>
          <w:p w14:paraId="670D916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2.充分体现节能的设计理念，如绿色照明技术应用（节能灯）等节能、节水、节材、节地设计，充分利用自然资源的设计。</w:t>
            </w:r>
          </w:p>
        </w:tc>
        <w:tc>
          <w:tcPr>
            <w:tcW w:w="2205" w:type="dxa"/>
            <w:tcBorders>
              <w:top w:val="single" w:color="auto" w:sz="4" w:space="0"/>
              <w:left w:val="single" w:color="auto" w:sz="4" w:space="0"/>
              <w:right w:val="single" w:color="auto" w:sz="4" w:space="0"/>
            </w:tcBorders>
            <w:noWrap w:val="0"/>
            <w:vAlign w:val="center"/>
          </w:tcPr>
          <w:p w14:paraId="58479EC3">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效果欠佳扣1-5分</w:t>
            </w:r>
          </w:p>
        </w:tc>
        <w:tc>
          <w:tcPr>
            <w:tcW w:w="1680" w:type="dxa"/>
            <w:tcBorders>
              <w:top w:val="single" w:color="auto" w:sz="4" w:space="0"/>
              <w:left w:val="single" w:color="auto" w:sz="4" w:space="0"/>
              <w:right w:val="single" w:color="auto" w:sz="4" w:space="0"/>
            </w:tcBorders>
            <w:noWrap w:val="0"/>
            <w:vAlign w:val="center"/>
          </w:tcPr>
          <w:p w14:paraId="0CE400A8">
            <w:pPr>
              <w:keepNext w:val="0"/>
              <w:keepLines w:val="0"/>
              <w:pageBreakBefore w:val="0"/>
              <w:widowControl w:val="0"/>
              <w:kinsoku/>
              <w:wordWrap/>
              <w:overflowPunct/>
              <w:topLinePunct w:val="0"/>
              <w:bidi w:val="0"/>
              <w:snapToGrid/>
              <w:spacing w:line="240" w:lineRule="auto"/>
              <w:ind w:firstLine="420" w:firstLineChars="200"/>
              <w:jc w:val="left"/>
              <w:textAlignment w:val="auto"/>
              <w:rPr>
                <w:rFonts w:hint="eastAsia" w:ascii="方正仿宋_GB2312" w:hAnsi="方正仿宋_GB2312" w:eastAsia="方正仿宋_GB2312" w:cs="方正仿宋_GB2312"/>
                <w:spacing w:val="0"/>
                <w:szCs w:val="21"/>
              </w:rPr>
            </w:pPr>
          </w:p>
        </w:tc>
        <w:tc>
          <w:tcPr>
            <w:tcW w:w="855" w:type="dxa"/>
            <w:vMerge w:val="restart"/>
            <w:tcBorders>
              <w:top w:val="single" w:color="auto" w:sz="4" w:space="0"/>
              <w:left w:val="single" w:color="auto" w:sz="4" w:space="0"/>
              <w:right w:val="single" w:color="auto" w:sz="4" w:space="0"/>
            </w:tcBorders>
            <w:noWrap w:val="0"/>
            <w:vAlign w:val="center"/>
          </w:tcPr>
          <w:p w14:paraId="17A2BD0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65分</w:t>
            </w:r>
          </w:p>
        </w:tc>
        <w:tc>
          <w:tcPr>
            <w:tcW w:w="2235" w:type="dxa"/>
            <w:tcBorders>
              <w:top w:val="single" w:color="auto" w:sz="4" w:space="0"/>
              <w:left w:val="single" w:color="auto" w:sz="4" w:space="0"/>
              <w:right w:val="single" w:color="auto" w:sz="4" w:space="0"/>
            </w:tcBorders>
            <w:noWrap w:val="0"/>
            <w:vAlign w:val="center"/>
          </w:tcPr>
          <w:p w14:paraId="20D1F95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实体拍照，结合综合观感效果进行评价。</w:t>
            </w:r>
          </w:p>
        </w:tc>
      </w:tr>
      <w:tr w14:paraId="0C2DB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1" w:hRule="atLeast"/>
        </w:trPr>
        <w:tc>
          <w:tcPr>
            <w:tcW w:w="845" w:type="dxa"/>
            <w:vMerge w:val="continue"/>
            <w:tcBorders>
              <w:left w:val="single" w:color="auto" w:sz="4" w:space="0"/>
              <w:right w:val="single" w:color="auto" w:sz="4" w:space="0"/>
            </w:tcBorders>
            <w:noWrap w:val="0"/>
            <w:vAlign w:val="center"/>
          </w:tcPr>
          <w:p w14:paraId="38C15D59">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380" w:type="dxa"/>
            <w:vMerge w:val="continue"/>
            <w:tcBorders>
              <w:left w:val="single" w:color="auto" w:sz="4" w:space="0"/>
              <w:right w:val="single" w:color="auto" w:sz="4" w:space="0"/>
            </w:tcBorders>
            <w:noWrap w:val="0"/>
            <w:vAlign w:val="center"/>
          </w:tcPr>
          <w:p w14:paraId="37FB2D6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3F284D83">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顶面工程：</w:t>
            </w:r>
          </w:p>
          <w:p w14:paraId="0155FD6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一、一般观感</w:t>
            </w:r>
          </w:p>
          <w:p w14:paraId="328BD28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1.吊顶各种终端设备未做整体规划，位置零乱影响美观，与面板交接不严，检修口未做收边处理或收口粗糙不协调；</w:t>
            </w:r>
          </w:p>
          <w:p w14:paraId="5BC4395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2.阴阳角不方正，收口收边不严密、不顺直；</w:t>
            </w:r>
          </w:p>
          <w:p w14:paraId="46BAA22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3.灯槽断光、灯管裸露、泛光不均；</w:t>
            </w:r>
          </w:p>
          <w:p w14:paraId="2DDB11B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4.灯具、探头、摄像头安装位置不正确，未成排成行，接线不正确；</w:t>
            </w:r>
          </w:p>
          <w:p w14:paraId="134266F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5.喷淋、风口安装位置不正确，不成排成行。</w:t>
            </w:r>
          </w:p>
          <w:p w14:paraId="42EE2C1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二、石膏板吊顶</w:t>
            </w:r>
          </w:p>
          <w:p w14:paraId="381209F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1.板面裂缝或修痕明显，表面不平整、变形；</w:t>
            </w:r>
          </w:p>
          <w:p w14:paraId="557C28A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2.造型吊顶不平直，侧板不通顺垂直，曲面吊顶不顺畅。</w:t>
            </w:r>
          </w:p>
          <w:p w14:paraId="185F2BF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三、金属板吊顶</w:t>
            </w:r>
          </w:p>
          <w:p w14:paraId="6A71782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1.板块安装不平，板缝不顺直、宽窄不均；</w:t>
            </w:r>
          </w:p>
          <w:p w14:paraId="0688B2E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2.板面下挠变形明显，板面不洁净，机电终端设备安装不居板中；</w:t>
            </w:r>
          </w:p>
          <w:p w14:paraId="389276F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3.边龙骨不顺直，与板面接触不实。</w:t>
            </w:r>
          </w:p>
          <w:p w14:paraId="286F67A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四、块材吊顶</w:t>
            </w:r>
          </w:p>
          <w:p w14:paraId="2AA7086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1.板面安装不严密、板缝不均匀，收口条翘曲不平；</w:t>
            </w:r>
          </w:p>
          <w:p w14:paraId="091210C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2.明龙骨不顺直，接缝不严密，机电终端设备安装不居板中。</w:t>
            </w:r>
          </w:p>
          <w:p w14:paraId="3E5B509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五、石材、玻璃吊顶</w:t>
            </w:r>
          </w:p>
          <w:p w14:paraId="0B532CA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1.玻璃吊顶安装不牢靠或未按规定使用安全玻璃，是否存在安全隐患</w:t>
            </w:r>
          </w:p>
          <w:p w14:paraId="3D68036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2.石材吊顶安装不牢靠，是否存在安全隐患</w:t>
            </w:r>
          </w:p>
          <w:p w14:paraId="3DD74E7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3.图案花饰不连续、吊顶表面不洁净，接缝不严密。</w:t>
            </w:r>
          </w:p>
          <w:p w14:paraId="176BF06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p w14:paraId="55BA037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六、转换层</w:t>
            </w:r>
          </w:p>
          <w:p w14:paraId="7CEB7FB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钢结构转换层与网架及吊顶连接不符合要求，存在安全隐患。</w:t>
            </w:r>
          </w:p>
          <w:p w14:paraId="7D97016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七、重（大）型隔断</w:t>
            </w:r>
          </w:p>
          <w:p w14:paraId="0B83315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1.较大、较重活动隔断安装不牢固、存在安全隐患。</w:t>
            </w:r>
          </w:p>
          <w:p w14:paraId="497FDCF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八、灯具</w:t>
            </w:r>
          </w:p>
          <w:p w14:paraId="0E4CB65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1.大型灯具（大于10kg)安装不牢固、存在安全隐患；</w:t>
            </w:r>
          </w:p>
          <w:p w14:paraId="38979CF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2.I类灯具外露可导电部分（金属外壳）未接地。</w:t>
            </w:r>
          </w:p>
          <w:p w14:paraId="582EB67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九、吊顶内部</w:t>
            </w:r>
          </w:p>
          <w:p w14:paraId="7B040046">
            <w:pPr>
              <w:keepNext w:val="0"/>
              <w:keepLines w:val="0"/>
              <w:pageBreakBefore w:val="0"/>
              <w:widowControl w:val="0"/>
              <w:kinsoku/>
              <w:wordWrap/>
              <w:overflowPunct/>
              <w:topLinePunct w:val="0"/>
              <w:bidi w:val="0"/>
              <w:snapToGrid/>
              <w:spacing w:line="240" w:lineRule="auto"/>
              <w:ind w:left="19" w:hanging="18" w:hangingChars="9"/>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1.吊顶内防火涂料的涂刷情况，吊杆超长未做刚性反支撑；龙骨设置间距不符合规范要求；</w:t>
            </w:r>
          </w:p>
          <w:p w14:paraId="50F308AA">
            <w:pPr>
              <w:keepNext w:val="0"/>
              <w:keepLines w:val="0"/>
              <w:pageBreakBefore w:val="0"/>
              <w:widowControl w:val="0"/>
              <w:tabs>
                <w:tab w:val="left" w:pos="360"/>
              </w:tabs>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2.机电设备未使用专用吊杆；有导线裸露；金属软管过长、脱落；管道未按规定涂刷；</w:t>
            </w:r>
          </w:p>
          <w:p w14:paraId="6D3F911D">
            <w:pPr>
              <w:pStyle w:val="46"/>
              <w:keepNext w:val="0"/>
              <w:keepLines w:val="0"/>
              <w:pageBreakBefore w:val="0"/>
              <w:widowControl w:val="0"/>
              <w:tabs>
                <w:tab w:val="left" w:pos="360"/>
              </w:tabs>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3.管道连接处麻头未清理干净；管道（风管）保温不严密；吊顶内防火分区不到位。</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69F71B97">
            <w:pPr>
              <w:pStyle w:val="46"/>
              <w:keepNext w:val="0"/>
              <w:keepLines w:val="0"/>
              <w:pageBreakBefore w:val="0"/>
              <w:widowControl w:val="0"/>
              <w:kinsoku/>
              <w:wordWrap/>
              <w:overflowPunct/>
              <w:topLinePunct w:val="0"/>
              <w:bidi w:val="0"/>
              <w:snapToGrid/>
              <w:spacing w:line="240" w:lineRule="auto"/>
              <w:ind w:firstLine="0" w:firstLineChars="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1.违反强条的扣5-20分；</w:t>
            </w:r>
          </w:p>
          <w:p w14:paraId="7B5D14CC">
            <w:pPr>
              <w:pStyle w:val="46"/>
              <w:keepNext w:val="0"/>
              <w:keepLines w:val="0"/>
              <w:pageBreakBefore w:val="0"/>
              <w:widowControl w:val="0"/>
              <w:kinsoku/>
              <w:wordWrap/>
              <w:overflowPunct/>
              <w:topLinePunct w:val="0"/>
              <w:bidi w:val="0"/>
              <w:snapToGrid/>
              <w:spacing w:line="240" w:lineRule="auto"/>
              <w:ind w:firstLine="0" w:firstLineChars="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2.顶面工程存在质量缺陷的每项扣0.1-0.5分；</w:t>
            </w:r>
          </w:p>
          <w:p w14:paraId="61F69DD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341F2B1C">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国家标准中的强制性条款是工程实体复查时重要的关注内容。</w:t>
            </w:r>
          </w:p>
        </w:tc>
        <w:tc>
          <w:tcPr>
            <w:tcW w:w="855" w:type="dxa"/>
            <w:vMerge w:val="continue"/>
            <w:tcBorders>
              <w:left w:val="single" w:color="auto" w:sz="4" w:space="0"/>
              <w:right w:val="single" w:color="auto" w:sz="4" w:space="0"/>
            </w:tcBorders>
            <w:noWrap w:val="0"/>
            <w:vAlign w:val="center"/>
          </w:tcPr>
          <w:p w14:paraId="66224FB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35" w:type="dxa"/>
            <w:tcBorders>
              <w:top w:val="single" w:color="auto" w:sz="4" w:space="0"/>
              <w:left w:val="single" w:color="auto" w:sz="4" w:space="0"/>
              <w:bottom w:val="single" w:color="auto" w:sz="4" w:space="0"/>
              <w:right w:val="single" w:color="auto" w:sz="4" w:space="0"/>
            </w:tcBorders>
            <w:noWrap w:val="0"/>
            <w:vAlign w:val="center"/>
          </w:tcPr>
          <w:p w14:paraId="32C3514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对实体顶面重点部位拍照，并结合资料佐证</w:t>
            </w:r>
          </w:p>
        </w:tc>
      </w:tr>
      <w:tr w14:paraId="0437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0" w:hRule="atLeast"/>
        </w:trPr>
        <w:tc>
          <w:tcPr>
            <w:tcW w:w="845" w:type="dxa"/>
            <w:vMerge w:val="continue"/>
            <w:tcBorders>
              <w:left w:val="single" w:color="auto" w:sz="4" w:space="0"/>
              <w:right w:val="single" w:color="auto" w:sz="4" w:space="0"/>
            </w:tcBorders>
            <w:noWrap w:val="0"/>
            <w:vAlign w:val="center"/>
          </w:tcPr>
          <w:p w14:paraId="15B90A3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380" w:type="dxa"/>
            <w:vMerge w:val="continue"/>
            <w:tcBorders>
              <w:left w:val="single" w:color="auto" w:sz="4" w:space="0"/>
              <w:right w:val="single" w:color="auto" w:sz="4" w:space="0"/>
            </w:tcBorders>
            <w:noWrap w:val="0"/>
            <w:vAlign w:val="center"/>
          </w:tcPr>
          <w:p w14:paraId="61D733D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3B5FB7CF">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墙面工程：</w:t>
            </w:r>
          </w:p>
          <w:p w14:paraId="75556B7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一、一般观感</w:t>
            </w:r>
          </w:p>
          <w:p w14:paraId="73C3016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1.阴阳角不方正、不顺直；横线条高于竖线条；</w:t>
            </w:r>
          </w:p>
          <w:p w14:paraId="4B8146D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2.机电面板与墙柱面安装不严密、不方正、间距不均；</w:t>
            </w:r>
          </w:p>
          <w:p w14:paraId="74928E0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3.水龙头、阀门、检查口安装位置不准确，标高不一致，不成排成行。</w:t>
            </w:r>
          </w:p>
          <w:p w14:paraId="2D02AF2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二、饰面砖工程</w:t>
            </w:r>
          </w:p>
          <w:p w14:paraId="50A6110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1.饰面砖粘贴不牢固、表面不平整、色泽不一致、排砖不正确，窗边、门边有破活；</w:t>
            </w:r>
          </w:p>
          <w:p w14:paraId="61FCCA5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2.饰面砖缝不均匀，勾缝不清晰，不洁净。</w:t>
            </w:r>
          </w:p>
          <w:p w14:paraId="271AAAA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三、饰面板工程</w:t>
            </w:r>
          </w:p>
          <w:p w14:paraId="38D0F9C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1.石材墙柱面接缝不平、有缺损、接缝打磨，修补痕迹明显；</w:t>
            </w:r>
          </w:p>
          <w:p w14:paraId="1493C51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2.干挂石材墙面透胶污染，湿贴石材饰面有“泛碱”或“水渍”；</w:t>
            </w:r>
          </w:p>
          <w:p w14:paraId="0E0AC28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3.金属饰面板表面不平整、色泽不一致，板缝不均匀顺直、板面有明显划痕或污渍，胶缝不平顺；</w:t>
            </w:r>
          </w:p>
          <w:p w14:paraId="6D3047D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4.木饰面板表面不平整、有翘曲、开裂、离缝、接缝不严密、色泽不均匀、钉眼明显；</w:t>
            </w:r>
          </w:p>
          <w:p w14:paraId="788725D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5.玻璃板饰面无可靠防脱落措施，存在安全隐患；</w:t>
            </w:r>
          </w:p>
          <w:p w14:paraId="29BEC8A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四、裱糊软包</w:t>
            </w:r>
          </w:p>
          <w:p w14:paraId="60D90D3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1.壁纸粘贴不牢、翘边、空鼓；拼接处花纹、图案不协调、拼缝污染、离缝；</w:t>
            </w:r>
          </w:p>
          <w:p w14:paraId="18555DC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2.软包饰面不平整、布面走向不一致，面料四周绷压不严密、布面松弛、边角不圆润饱满，内衬泡沫塑料过厚；</w:t>
            </w:r>
          </w:p>
          <w:p w14:paraId="2678BB5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五、玻璃板墙面</w:t>
            </w:r>
          </w:p>
          <w:p w14:paraId="6A26049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1.未按规定使用安全玻璃，存在安全隐患；</w:t>
            </w:r>
          </w:p>
          <w:p w14:paraId="5123FA2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2.玻璃板安装不牢固，与压条封压不严密；</w:t>
            </w:r>
          </w:p>
          <w:p w14:paraId="679C301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3.接缝不平直、勾缝不密实平整，表面不洁净、金属压条刺手。</w:t>
            </w:r>
          </w:p>
          <w:p w14:paraId="0CB5BC8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六、涂饰墙面</w:t>
            </w:r>
          </w:p>
          <w:p w14:paraId="73D4C0C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1.油漆、涂料色泽不均匀、表面不平整、漆面不光滑、刷纹明显、流坠污染、阴角凹槽不干净。</w:t>
            </w:r>
          </w:p>
          <w:p w14:paraId="1AEABED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七、门窗安装</w:t>
            </w:r>
          </w:p>
          <w:p w14:paraId="2FFC128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1.木门窗（扇）变形扭曲、缝隙大、关闭不严密，合页安装粗糙，门窗扇上、下端漏刷油漆；</w:t>
            </w:r>
          </w:p>
          <w:p w14:paraId="3841D54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2.玻璃门门扇下坠，拉手松动、缝隙不均或过宽；</w:t>
            </w:r>
          </w:p>
          <w:p w14:paraId="023E4D9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3.铝合金门窗扇固定不牢靠，门扇、窗扇下坠、开启不灵便、划痕明显；</w:t>
            </w:r>
          </w:p>
          <w:p w14:paraId="7D28A68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4.厨卫间木门框下沿未作防水、防潮处理；</w:t>
            </w:r>
          </w:p>
          <w:p w14:paraId="07C1F78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5.门窗的开启方向不符合规范要求。</w:t>
            </w:r>
          </w:p>
          <w:p w14:paraId="150A604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八、固定家具及细部</w:t>
            </w:r>
          </w:p>
          <w:p w14:paraId="7977890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1.木制固定家具门扇翘曲变形，与顶棚、墙体交接不严密、不顺直，柜台出檐下部粗糙；</w:t>
            </w:r>
          </w:p>
          <w:p w14:paraId="01DBCFB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2.阳角线、挂镜线、腰线、踢脚线接口不平，表面污染，装饰线收口不到位。</w:t>
            </w:r>
          </w:p>
          <w:p w14:paraId="10F8A6E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九、洁具安装</w:t>
            </w:r>
          </w:p>
          <w:p w14:paraId="3D1C1B6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1.洗手台板、台下盆等卫浴设备安装不牢，靠墙、地部位缝隙不均匀，无防水措施；</w:t>
            </w:r>
          </w:p>
          <w:p w14:paraId="3D087B6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2.小便斗、洗手盆、大便器等安装不牢固，不成排成行；</w:t>
            </w:r>
          </w:p>
          <w:p w14:paraId="4C9ED55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3.给水、排水的阀门开、关不灵活；给水、排水的水流不通畅；卫生器具排水口下未设置存水弯、存水弯水封深度不符合要求；</w:t>
            </w:r>
          </w:p>
          <w:p w14:paraId="3F42C0A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4.卫浴间隔断和配件安装不牢固、不平顺。</w:t>
            </w:r>
          </w:p>
          <w:p w14:paraId="0A193EA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十、电气安装</w:t>
            </w:r>
          </w:p>
          <w:p w14:paraId="38370E0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1.开关未控制相线；插座相位不准确，电线未分色；开关和插座盒外有裸露导线、未用套盒、装在软包或木饰面等易燃物上未做防火处理；插座接线不正确；</w:t>
            </w:r>
          </w:p>
          <w:p w14:paraId="52134A2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2.配电箱、柜安装不牢固，位置不准确，接线不正确；</w:t>
            </w:r>
          </w:p>
          <w:p w14:paraId="0513FB2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3.有洗浴的卫生间等电位联结不正确或未做；</w:t>
            </w:r>
          </w:p>
          <w:p w14:paraId="59748F7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4.缺接地保护线；</w:t>
            </w:r>
          </w:p>
          <w:p w14:paraId="330C78C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5.墙面背景灯、有水潮湿部位的灯具安装存在安全隐患。</w:t>
            </w:r>
          </w:p>
          <w:p w14:paraId="24BF4D8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十一、消防栓</w:t>
            </w:r>
          </w:p>
          <w:p w14:paraId="11874E7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1.消防箱安装不牢固，壁内四周未采用阻燃材料封堵；消防栓门开启不便或无开启方向标识，开启角度不符合规范要求。</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53548570">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1.违反强条的扣5-20分；</w:t>
            </w:r>
          </w:p>
          <w:p w14:paraId="19E9BB14">
            <w:pPr>
              <w:pStyle w:val="46"/>
              <w:keepNext w:val="0"/>
              <w:keepLines w:val="0"/>
              <w:pageBreakBefore w:val="0"/>
              <w:widowControl w:val="0"/>
              <w:kinsoku/>
              <w:wordWrap/>
              <w:overflowPunct/>
              <w:topLinePunct w:val="0"/>
              <w:bidi w:val="0"/>
              <w:snapToGrid/>
              <w:spacing w:line="240" w:lineRule="auto"/>
              <w:ind w:firstLine="0" w:firstLineChars="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2.墙面工程存在质量缺陷的每项扣0.1-0.5分；</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71C911C2">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p>
        </w:tc>
        <w:tc>
          <w:tcPr>
            <w:tcW w:w="855" w:type="dxa"/>
            <w:vMerge w:val="continue"/>
            <w:tcBorders>
              <w:left w:val="single" w:color="auto" w:sz="4" w:space="0"/>
              <w:right w:val="single" w:color="auto" w:sz="4" w:space="0"/>
            </w:tcBorders>
            <w:noWrap w:val="0"/>
            <w:vAlign w:val="center"/>
          </w:tcPr>
          <w:p w14:paraId="372318A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35" w:type="dxa"/>
            <w:tcBorders>
              <w:top w:val="single" w:color="auto" w:sz="4" w:space="0"/>
              <w:left w:val="single" w:color="auto" w:sz="4" w:space="0"/>
              <w:bottom w:val="single" w:color="auto" w:sz="4" w:space="0"/>
              <w:right w:val="single" w:color="auto" w:sz="4" w:space="0"/>
            </w:tcBorders>
            <w:noWrap w:val="0"/>
            <w:vAlign w:val="center"/>
          </w:tcPr>
          <w:p w14:paraId="1033F94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对实体墙柱面重点部位拍照，并结合资料佐证</w:t>
            </w:r>
          </w:p>
        </w:tc>
      </w:tr>
      <w:tr w14:paraId="4B147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trPr>
        <w:tc>
          <w:tcPr>
            <w:tcW w:w="845" w:type="dxa"/>
            <w:vMerge w:val="continue"/>
            <w:tcBorders>
              <w:left w:val="single" w:color="auto" w:sz="4" w:space="0"/>
              <w:right w:val="single" w:color="auto" w:sz="4" w:space="0"/>
            </w:tcBorders>
            <w:noWrap w:val="0"/>
            <w:vAlign w:val="center"/>
          </w:tcPr>
          <w:p w14:paraId="0D4515B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380" w:type="dxa"/>
            <w:vMerge w:val="continue"/>
            <w:tcBorders>
              <w:left w:val="single" w:color="auto" w:sz="4" w:space="0"/>
              <w:right w:val="single" w:color="auto" w:sz="4" w:space="0"/>
            </w:tcBorders>
            <w:noWrap w:val="0"/>
            <w:vAlign w:val="center"/>
          </w:tcPr>
          <w:p w14:paraId="34E7C22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0FC2AAD1">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地面工程：</w:t>
            </w:r>
          </w:p>
          <w:p w14:paraId="68DBA7B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一、一般观感</w:t>
            </w:r>
          </w:p>
          <w:p w14:paraId="7903B3F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1.地面标高不正确，与客梯、滚梯以及用水间地面配合不好；地面平整度差、坡向不正确，地漏篦子未低于地面、地漏未居地砖（块）中心。</w:t>
            </w:r>
          </w:p>
          <w:p w14:paraId="3C149E1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2.有防滑要求的地面、坡道不符合防滑要求。</w:t>
            </w:r>
          </w:p>
          <w:p w14:paraId="362FD63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3.楼梯台阶高差不匀、踏步过高，单级踏步。</w:t>
            </w:r>
          </w:p>
          <w:p w14:paraId="7650416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二、木地板地面</w:t>
            </w:r>
          </w:p>
          <w:p w14:paraId="25451B5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1.条形地板铺设方向不正确，板面变形不实、行走有响动，拼缝不平直、缝隙过大。</w:t>
            </w:r>
          </w:p>
          <w:p w14:paraId="07F0B46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三、板块地面</w:t>
            </w:r>
          </w:p>
          <w:p w14:paraId="48D429D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1.石材地面“泛碱”、“水渍”污染，色差明显；</w:t>
            </w:r>
          </w:p>
          <w:p w14:paraId="1059782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2.板块地面接缝不平直、局部打磨影响美观；</w:t>
            </w:r>
          </w:p>
          <w:p w14:paraId="0AD7868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3.块材崩边掉角、裂纹多、修补痕迹明显；</w:t>
            </w:r>
          </w:p>
          <w:p w14:paraId="28F7DFC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4.块材地面裁块不匀、排板不佳、影响美观；周边不交圈、切角不到位、套割不严密。</w:t>
            </w:r>
          </w:p>
          <w:p w14:paraId="1DCF7D3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四、地毯地面</w:t>
            </w:r>
          </w:p>
          <w:p w14:paraId="7E8052B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1.地毯表面不平服、起鼓翘边、图案拼花不细、接缝明显，绒面顺光不一致。</w:t>
            </w:r>
          </w:p>
          <w:p w14:paraId="375AA26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五、防静电及塑胶地板</w:t>
            </w:r>
          </w:p>
          <w:p w14:paraId="1ED41F3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1.防静电地板安装不牢固；防静电地板未接地。</w:t>
            </w:r>
          </w:p>
          <w:p w14:paraId="3A2A3AD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2.塑胶地板接缝不顺直、铺装不平，踢脚线脱胶翘边。</w:t>
            </w:r>
          </w:p>
          <w:p w14:paraId="5B41D90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六、栏杆扶手</w:t>
            </w:r>
          </w:p>
          <w:p w14:paraId="76A14DF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1.临边栏杆间距、高度和挡脚板未按规定设置，玻璃栏板未按规定使用，落地窗未按要求设置安全防护，存在安全隐患；</w:t>
            </w:r>
          </w:p>
          <w:p w14:paraId="7C1882A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2.栏杆立柱固定不牢，玻璃栏板安装不平顺、边缘未打磨；</w:t>
            </w:r>
          </w:p>
          <w:p w14:paraId="348162A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3.木扶手开裂、接头不平、油漆剥落、色泽不均。不锈钢栏杆、扶手接缝不平顺、表面拉丝不均匀。</w:t>
            </w:r>
          </w:p>
          <w:p w14:paraId="4B7A071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七、地漏</w:t>
            </w:r>
          </w:p>
          <w:p w14:paraId="41832C3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1.地漏设计不合理、安装不规范。</w:t>
            </w:r>
          </w:p>
          <w:p w14:paraId="6883D5F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八、其它</w:t>
            </w:r>
          </w:p>
          <w:p w14:paraId="2615686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1.厕浴间和有防滑要求的建筑地面是否做防滑处理。</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CF937C5">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1.违反强条的扣5-20分；</w:t>
            </w:r>
          </w:p>
          <w:p w14:paraId="73202024">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2.地面工程存在质量缺陷的每项扣0.1-0.5分；</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0F982B35">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p>
        </w:tc>
        <w:tc>
          <w:tcPr>
            <w:tcW w:w="855" w:type="dxa"/>
            <w:vMerge w:val="continue"/>
            <w:tcBorders>
              <w:left w:val="single" w:color="auto" w:sz="4" w:space="0"/>
              <w:right w:val="single" w:color="auto" w:sz="4" w:space="0"/>
            </w:tcBorders>
            <w:noWrap w:val="0"/>
            <w:vAlign w:val="center"/>
          </w:tcPr>
          <w:p w14:paraId="76E09B74">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235" w:type="dxa"/>
            <w:tcBorders>
              <w:top w:val="single" w:color="auto" w:sz="4" w:space="0"/>
              <w:left w:val="single" w:color="auto" w:sz="4" w:space="0"/>
              <w:bottom w:val="single" w:color="auto" w:sz="4" w:space="0"/>
              <w:right w:val="single" w:color="auto" w:sz="4" w:space="0"/>
            </w:tcBorders>
            <w:noWrap w:val="0"/>
            <w:vAlign w:val="center"/>
          </w:tcPr>
          <w:p w14:paraId="7FED262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对实体地面重点部位拍照，并结合资料佐证</w:t>
            </w:r>
          </w:p>
        </w:tc>
      </w:tr>
      <w:tr w14:paraId="3AA14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7" w:hRule="atLeast"/>
        </w:trPr>
        <w:tc>
          <w:tcPr>
            <w:tcW w:w="845" w:type="dxa"/>
            <w:tcBorders>
              <w:top w:val="single" w:color="auto" w:sz="4" w:space="0"/>
              <w:left w:val="single" w:color="auto" w:sz="4" w:space="0"/>
              <w:bottom w:val="single" w:color="auto" w:sz="4" w:space="0"/>
              <w:right w:val="single" w:color="auto" w:sz="4" w:space="0"/>
            </w:tcBorders>
            <w:noWrap w:val="0"/>
            <w:vAlign w:val="center"/>
          </w:tcPr>
          <w:p w14:paraId="11597C64">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w:t>
            </w:r>
          </w:p>
        </w:tc>
        <w:tc>
          <w:tcPr>
            <w:tcW w:w="1380" w:type="dxa"/>
            <w:tcBorders>
              <w:top w:val="single" w:color="auto" w:sz="4" w:space="0"/>
              <w:left w:val="single" w:color="auto" w:sz="4" w:space="0"/>
              <w:bottom w:val="single" w:color="auto" w:sz="4" w:space="0"/>
              <w:right w:val="single" w:color="auto" w:sz="4" w:space="0"/>
            </w:tcBorders>
            <w:noWrap w:val="0"/>
            <w:vAlign w:val="center"/>
          </w:tcPr>
          <w:p w14:paraId="36986A6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科技创新</w:t>
            </w:r>
          </w:p>
        </w:tc>
        <w:tc>
          <w:tcPr>
            <w:tcW w:w="5325" w:type="dxa"/>
            <w:tcBorders>
              <w:top w:val="single" w:color="auto" w:sz="4" w:space="0"/>
              <w:left w:val="single" w:color="auto" w:sz="4" w:space="0"/>
              <w:bottom w:val="single" w:color="auto" w:sz="4" w:space="0"/>
              <w:right w:val="single" w:color="auto" w:sz="4" w:space="0"/>
            </w:tcBorders>
            <w:noWrap w:val="0"/>
            <w:vAlign w:val="center"/>
          </w:tcPr>
          <w:p w14:paraId="2D9491B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1.有创新技术、工艺、工法等；</w:t>
            </w:r>
          </w:p>
          <w:p w14:paraId="0247A6D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2.采用了新材料、新工艺、新技术或有利于环保节能等的材料、技术、措施、工艺、工法等；</w:t>
            </w:r>
          </w:p>
          <w:p w14:paraId="0B7AE04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3.获得了与申报工程相关的发明专利、实用新型专利、省级或以上工艺工法等；</w:t>
            </w:r>
          </w:p>
          <w:p w14:paraId="23ABA59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4.本工程已获得建筑装饰行业科学技术奖。</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BC244E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缺少相应内容的，扣1-3分。</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258EC202">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6E69C430">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5分</w:t>
            </w:r>
          </w:p>
        </w:tc>
        <w:tc>
          <w:tcPr>
            <w:tcW w:w="2235" w:type="dxa"/>
            <w:tcBorders>
              <w:top w:val="single" w:color="auto" w:sz="4" w:space="0"/>
              <w:left w:val="single" w:color="auto" w:sz="4" w:space="0"/>
              <w:bottom w:val="single" w:color="auto" w:sz="4" w:space="0"/>
              <w:right w:val="single" w:color="auto" w:sz="4" w:space="0"/>
            </w:tcBorders>
            <w:noWrap w:val="0"/>
            <w:vAlign w:val="center"/>
          </w:tcPr>
          <w:p w14:paraId="3019E62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w:t>
            </w:r>
          </w:p>
          <w:p w14:paraId="3846719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工程实体、图纸、质量管理与技术资料等。</w:t>
            </w:r>
          </w:p>
        </w:tc>
      </w:tr>
      <w:tr w14:paraId="6188D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trPr>
        <w:tc>
          <w:tcPr>
            <w:tcW w:w="845" w:type="dxa"/>
            <w:tcBorders>
              <w:top w:val="single" w:color="auto" w:sz="4" w:space="0"/>
              <w:left w:val="single" w:color="auto" w:sz="4" w:space="0"/>
              <w:bottom w:val="single" w:color="auto" w:sz="4" w:space="0"/>
              <w:right w:val="single" w:color="auto" w:sz="4" w:space="0"/>
            </w:tcBorders>
            <w:noWrap w:val="0"/>
            <w:vAlign w:val="center"/>
          </w:tcPr>
          <w:p w14:paraId="222ABFB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w:t>
            </w:r>
          </w:p>
        </w:tc>
        <w:tc>
          <w:tcPr>
            <w:tcW w:w="1380" w:type="dxa"/>
            <w:tcBorders>
              <w:top w:val="single" w:color="auto" w:sz="4" w:space="0"/>
              <w:left w:val="single" w:color="auto" w:sz="4" w:space="0"/>
              <w:bottom w:val="single" w:color="auto" w:sz="4" w:space="0"/>
              <w:right w:val="single" w:color="auto" w:sz="4" w:space="0"/>
            </w:tcBorders>
            <w:noWrap w:val="0"/>
            <w:vAlign w:val="center"/>
          </w:tcPr>
          <w:p w14:paraId="20DA8781">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总体印象</w:t>
            </w:r>
          </w:p>
          <w:p w14:paraId="188B4D59">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5325" w:type="dxa"/>
            <w:tcBorders>
              <w:top w:val="single" w:color="auto" w:sz="4" w:space="0"/>
              <w:left w:val="single" w:color="auto" w:sz="4" w:space="0"/>
              <w:bottom w:val="single" w:color="auto" w:sz="4" w:space="0"/>
              <w:right w:val="single" w:color="auto" w:sz="4" w:space="0"/>
            </w:tcBorders>
            <w:noWrap w:val="0"/>
            <w:vAlign w:val="center"/>
          </w:tcPr>
          <w:p w14:paraId="5D8B051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1.组织工作准备充分，人员到位（项目经理或执行经理、技术负责人、资料员等相关人员应到场），汇报PPT内容重点突出、简单明了；</w:t>
            </w:r>
          </w:p>
          <w:p w14:paraId="5329854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2.资料准备充分有序，易于查找；</w:t>
            </w:r>
          </w:p>
          <w:p w14:paraId="4E7B46A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3.业主征询意见；</w:t>
            </w:r>
          </w:p>
          <w:p w14:paraId="7612195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4.工程实体检查顺畅不受阻。</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BBFACCC">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1.组织工作、人员到位情况欠佳的扣1-5分；</w:t>
            </w:r>
          </w:p>
          <w:p w14:paraId="160962C6">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2.其他问题扣1～3分</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4FD7E40C">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7D0EFBC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10分</w:t>
            </w:r>
          </w:p>
        </w:tc>
        <w:tc>
          <w:tcPr>
            <w:tcW w:w="2235" w:type="dxa"/>
            <w:tcBorders>
              <w:top w:val="single" w:color="auto" w:sz="4" w:space="0"/>
              <w:left w:val="single" w:color="auto" w:sz="4" w:space="0"/>
              <w:bottom w:val="single" w:color="auto" w:sz="4" w:space="0"/>
              <w:right w:val="single" w:color="auto" w:sz="4" w:space="0"/>
            </w:tcBorders>
            <w:noWrap w:val="0"/>
            <w:vAlign w:val="center"/>
          </w:tcPr>
          <w:p w14:paraId="1DE4E21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w:t>
            </w:r>
          </w:p>
          <w:p w14:paraId="3C4772B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1.组织准备情况；</w:t>
            </w:r>
          </w:p>
          <w:p w14:paraId="711F5CF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2.PPT（项目概况、施工范围、重点难点亮点、施工过程中情况照片等，汇报时间10分钟内）；</w:t>
            </w:r>
          </w:p>
          <w:p w14:paraId="6BE06B7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3.用户意见。</w:t>
            </w:r>
          </w:p>
        </w:tc>
      </w:tr>
    </w:tbl>
    <w:p w14:paraId="6F41DF80">
      <w:pPr>
        <w:keepNext w:val="0"/>
        <w:keepLines w:val="0"/>
        <w:pageBreakBefore w:val="0"/>
        <w:widowControl w:val="0"/>
        <w:kinsoku/>
        <w:wordWrap/>
        <w:overflowPunct/>
        <w:topLinePunct w:val="0"/>
        <w:bidi w:val="0"/>
        <w:snapToGrid/>
        <w:spacing w:line="240" w:lineRule="auto"/>
        <w:textAlignment w:val="auto"/>
        <w:rPr>
          <w:rFonts w:hint="eastAsia"/>
          <w:spacing w:val="0"/>
        </w:rPr>
        <w:sectPr>
          <w:footerReference r:id="rId9" w:type="default"/>
          <w:pgSz w:w="16838" w:h="11906" w:orient="landscape"/>
          <w:pgMar w:top="1440" w:right="1247" w:bottom="1440" w:left="1587" w:header="851" w:footer="992" w:gutter="0"/>
          <w:pgNumType w:fmt="numberInDash"/>
          <w:cols w:space="720" w:num="1"/>
          <w:docGrid w:type="lines" w:linePitch="312" w:charSpace="0"/>
        </w:sectPr>
      </w:pPr>
    </w:p>
    <w:p w14:paraId="52F7FFDE">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spacing w:val="0"/>
          <w:sz w:val="32"/>
          <w:szCs w:val="32"/>
        </w:rPr>
      </w:pPr>
      <w:r>
        <w:rPr>
          <w:rFonts w:hint="eastAsia" w:ascii="黑体" w:hAnsi="黑体" w:eastAsia="黑体" w:cs="黑体"/>
          <w:spacing w:val="0"/>
          <w:sz w:val="32"/>
          <w:szCs w:val="32"/>
        </w:rPr>
        <w:t>附件2</w:t>
      </w:r>
    </w:p>
    <w:p w14:paraId="63B6D75B">
      <w:pPr>
        <w:keepNext w:val="0"/>
        <w:keepLines w:val="0"/>
        <w:pageBreakBefore w:val="0"/>
        <w:widowControl w:val="0"/>
        <w:kinsoku/>
        <w:wordWrap/>
        <w:overflowPunct/>
        <w:topLinePunct w:val="0"/>
        <w:bidi w:val="0"/>
        <w:snapToGrid/>
        <w:spacing w:line="240" w:lineRule="auto"/>
        <w:jc w:val="center"/>
        <w:textAlignment w:val="auto"/>
        <w:rPr>
          <w:rFonts w:hint="eastAsia" w:ascii="方正小标宋_GBK" w:hAnsi="方正小标宋_GBK" w:eastAsia="方正小标宋_GBK" w:cs="方正小标宋_GBK"/>
          <w:b w:val="0"/>
          <w:bCs w:val="0"/>
          <w:spacing w:val="0"/>
          <w:sz w:val="36"/>
          <w:szCs w:val="36"/>
        </w:rPr>
      </w:pPr>
      <w:r>
        <w:rPr>
          <w:rFonts w:hint="eastAsia" w:ascii="方正小标宋_GBK" w:hAnsi="方正小标宋_GBK" w:eastAsia="方正小标宋_GBK" w:cs="方正小标宋_GBK"/>
          <w:b w:val="0"/>
          <w:bCs w:val="0"/>
          <w:spacing w:val="0"/>
          <w:sz w:val="36"/>
          <w:szCs w:val="36"/>
        </w:rPr>
        <w:t>中国建筑装饰协会中国建筑工程装饰奖</w:t>
      </w:r>
    </w:p>
    <w:p w14:paraId="2BE49965">
      <w:pPr>
        <w:keepNext w:val="0"/>
        <w:keepLines w:val="0"/>
        <w:pageBreakBefore w:val="0"/>
        <w:widowControl w:val="0"/>
        <w:kinsoku/>
        <w:wordWrap/>
        <w:overflowPunct/>
        <w:topLinePunct w:val="0"/>
        <w:bidi w:val="0"/>
        <w:snapToGrid/>
        <w:spacing w:line="240" w:lineRule="auto"/>
        <w:jc w:val="center"/>
        <w:textAlignment w:val="auto"/>
        <w:rPr>
          <w:rFonts w:hint="eastAsia" w:ascii="方正小标宋_GBK" w:hAnsi="方正小标宋_GBK" w:eastAsia="方正小标宋_GBK" w:cs="方正小标宋_GBK"/>
          <w:b w:val="0"/>
          <w:bCs w:val="0"/>
          <w:spacing w:val="0"/>
          <w:sz w:val="36"/>
          <w:szCs w:val="36"/>
        </w:rPr>
      </w:pPr>
      <w:r>
        <w:rPr>
          <w:rFonts w:hint="eastAsia" w:ascii="方正小标宋_GBK" w:hAnsi="方正小标宋_GBK" w:eastAsia="方正小标宋_GBK" w:cs="方正小标宋_GBK"/>
          <w:b w:val="0"/>
          <w:bCs w:val="0"/>
          <w:spacing w:val="0"/>
          <w:sz w:val="36"/>
          <w:szCs w:val="36"/>
        </w:rPr>
        <w:t>复查实施细则</w:t>
      </w:r>
    </w:p>
    <w:p w14:paraId="2652CA50">
      <w:pPr>
        <w:keepNext w:val="0"/>
        <w:keepLines w:val="0"/>
        <w:pageBreakBefore w:val="0"/>
        <w:widowControl w:val="0"/>
        <w:kinsoku/>
        <w:wordWrap/>
        <w:overflowPunct/>
        <w:topLinePunct w:val="0"/>
        <w:bidi w:val="0"/>
        <w:snapToGrid/>
        <w:spacing w:line="240" w:lineRule="auto"/>
        <w:jc w:val="center"/>
        <w:textAlignment w:val="auto"/>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公共建筑装饰设计</w:t>
      </w:r>
    </w:p>
    <w:p w14:paraId="7305397B">
      <w:pPr>
        <w:keepNext w:val="0"/>
        <w:keepLines w:val="0"/>
        <w:pageBreakBefore w:val="0"/>
        <w:widowControl w:val="0"/>
        <w:kinsoku/>
        <w:wordWrap/>
        <w:overflowPunct/>
        <w:topLinePunct w:val="0"/>
        <w:bidi w:val="0"/>
        <w:snapToGrid/>
        <w:spacing w:line="240" w:lineRule="auto"/>
        <w:jc w:val="center"/>
        <w:textAlignment w:val="auto"/>
        <w:rPr>
          <w:rFonts w:hint="eastAsia" w:ascii="仿宋_GB2312" w:hAnsi="仿宋_GB2312" w:eastAsia="仿宋_GB2312" w:cs="仿宋_GB2312"/>
          <w:spacing w:val="0"/>
          <w:sz w:val="32"/>
          <w:szCs w:val="32"/>
        </w:rPr>
      </w:pPr>
    </w:p>
    <w:p w14:paraId="5BFE4822">
      <w:pPr>
        <w:keepNext w:val="0"/>
        <w:keepLines w:val="0"/>
        <w:pageBreakBefore w:val="0"/>
        <w:widowControl w:val="0"/>
        <w:numPr>
          <w:ilvl w:val="0"/>
          <w:numId w:val="0"/>
        </w:numPr>
        <w:kinsoku/>
        <w:wordWrap/>
        <w:overflowPunct/>
        <w:topLinePunct w:val="0"/>
        <w:bidi w:val="0"/>
        <w:adjustRightInd w:val="0"/>
        <w:snapToGrid/>
        <w:spacing w:line="240" w:lineRule="auto"/>
        <w:ind w:firstLine="640" w:firstLineChars="200"/>
        <w:textAlignment w:val="auto"/>
        <w:outlineLvl w:val="1"/>
        <w:rPr>
          <w:rFonts w:hint="eastAsia" w:ascii="黑体" w:hAnsi="黑体" w:eastAsia="黑体" w:cs="黑体"/>
          <w:bCs/>
          <w:spacing w:val="0"/>
          <w:sz w:val="32"/>
          <w:szCs w:val="32"/>
        </w:rPr>
      </w:pPr>
      <w:bookmarkStart w:id="23" w:name="_Toc15132"/>
      <w:bookmarkStart w:id="24" w:name="_Toc9546"/>
      <w:r>
        <w:rPr>
          <w:rFonts w:hint="eastAsia" w:ascii="黑体" w:hAnsi="黑体" w:eastAsia="黑体" w:cs="黑体"/>
          <w:bCs/>
          <w:spacing w:val="0"/>
          <w:kern w:val="2"/>
          <w:sz w:val="32"/>
          <w:szCs w:val="32"/>
          <w:lang w:val="en-US" w:eastAsia="zh-CN" w:bidi="ar-SA"/>
        </w:rPr>
        <w:t>一、</w:t>
      </w:r>
      <w:r>
        <w:rPr>
          <w:rFonts w:hint="eastAsia" w:ascii="黑体" w:hAnsi="黑体" w:eastAsia="黑体" w:cs="黑体"/>
          <w:bCs/>
          <w:spacing w:val="0"/>
          <w:sz w:val="32"/>
          <w:szCs w:val="32"/>
        </w:rPr>
        <w:t>评分标准及要求</w:t>
      </w:r>
      <w:bookmarkEnd w:id="23"/>
      <w:bookmarkEnd w:id="24"/>
    </w:p>
    <w:p w14:paraId="3B5BFCFE">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设计项目是指含有施工图设计的工程设计项目，仅对施工图做深化的设计项目不可申报，设计项目面积不低于</w:t>
      </w:r>
      <w:r>
        <w:rPr>
          <w:rFonts w:hint="eastAsia" w:ascii="仿宋_GB2312" w:hAnsi="仿宋_GB2312" w:eastAsia="仿宋_GB2312" w:cs="仿宋_GB2312"/>
          <w:spacing w:val="0"/>
          <w:sz w:val="32"/>
          <w:szCs w:val="32"/>
          <w:lang w:val="en-US" w:eastAsia="zh-CN"/>
        </w:rPr>
        <w:t>2</w:t>
      </w:r>
      <w:r>
        <w:rPr>
          <w:rFonts w:hint="eastAsia" w:ascii="仿宋_GB2312" w:hAnsi="仿宋_GB2312" w:eastAsia="仿宋_GB2312" w:cs="仿宋_GB2312"/>
          <w:spacing w:val="0"/>
          <w:sz w:val="32"/>
          <w:szCs w:val="32"/>
        </w:rPr>
        <w:t>000㎡。未申报公共建筑装饰类的工程项目不得单独申报公共建筑装饰设计。</w:t>
      </w:r>
    </w:p>
    <w:p w14:paraId="3EE735CA">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鉴于设计项目的性质、类别、规模等各方面情况差别较大，故复查设计项目的评分采用扣分法，本细则重点列出了在资料（必要文件）、设计图纸（方案、施工图）、设计效果、科技创新、总体印象等几个方面的常见问题、设计与图纸通病和涉及安全与使用的问题，结合复查中查出的问题进行评分。项目复查总分为100分。</w:t>
      </w:r>
    </w:p>
    <w:p w14:paraId="1E105955">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工程复查评分标准——公共建筑装饰设计》所列复查内容均为设计复查的必查和主查内容，各复查小组可根据项目实际情况做必要的补充和调整，但必查内容不可取消。复查评分严格按照各项要求及分值进行复查评分，并将各大项评分记录在申报表项目复查表中。</w:t>
      </w:r>
    </w:p>
    <w:p w14:paraId="052B31A3">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申报装饰奖的单位需重视对项目设计中安全隐患的排查、图纸合规性自查及相关必要文件的准备，要求申报单位在申报前对上述方面进行梳理自查，使其符合相应的国家强制性规范、标准与装饰奖复查的要求。</w:t>
      </w:r>
    </w:p>
    <w:p w14:paraId="00919136">
      <w:pPr>
        <w:keepNext w:val="0"/>
        <w:keepLines w:val="0"/>
        <w:pageBreakBefore w:val="0"/>
        <w:widowControl w:val="0"/>
        <w:numPr>
          <w:ilvl w:val="0"/>
          <w:numId w:val="0"/>
        </w:numPr>
        <w:kinsoku/>
        <w:wordWrap/>
        <w:overflowPunct/>
        <w:topLinePunct w:val="0"/>
        <w:bidi w:val="0"/>
        <w:adjustRightInd w:val="0"/>
        <w:snapToGrid/>
        <w:spacing w:line="240" w:lineRule="auto"/>
        <w:ind w:firstLine="640" w:firstLineChars="200"/>
        <w:textAlignment w:val="auto"/>
        <w:outlineLvl w:val="1"/>
        <w:rPr>
          <w:rFonts w:hint="eastAsia" w:ascii="黑体" w:hAnsi="黑体" w:eastAsia="黑体" w:cs="黑体"/>
          <w:bCs/>
          <w:spacing w:val="0"/>
          <w:kern w:val="2"/>
          <w:sz w:val="32"/>
          <w:szCs w:val="32"/>
          <w:lang w:val="en-US" w:eastAsia="zh-CN" w:bidi="ar-SA"/>
        </w:rPr>
      </w:pPr>
      <w:bookmarkStart w:id="25" w:name="_Toc10845"/>
      <w:r>
        <w:rPr>
          <w:rFonts w:hint="eastAsia" w:ascii="黑体" w:hAnsi="黑体" w:eastAsia="黑体" w:cs="黑体"/>
          <w:bCs/>
          <w:spacing w:val="0"/>
          <w:kern w:val="2"/>
          <w:sz w:val="32"/>
          <w:szCs w:val="32"/>
          <w:lang w:val="en-US" w:eastAsia="zh-CN" w:bidi="ar-SA"/>
        </w:rPr>
        <w:t>二、执行的法规、规范和标准</w:t>
      </w:r>
      <w:bookmarkEnd w:id="25"/>
    </w:p>
    <w:p w14:paraId="28762D37">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以法律法规、现行国家和行业规范标准以及CBDA标准为准。</w:t>
      </w:r>
    </w:p>
    <w:p w14:paraId="4DD36A96">
      <w:pPr>
        <w:keepNext w:val="0"/>
        <w:keepLines w:val="0"/>
        <w:pageBreakBefore w:val="0"/>
        <w:widowControl w:val="0"/>
        <w:kinsoku/>
        <w:wordWrap/>
        <w:overflowPunct/>
        <w:topLinePunct w:val="0"/>
        <w:bidi w:val="0"/>
        <w:adjustRightInd w:val="0"/>
        <w:snapToGrid/>
        <w:spacing w:line="240" w:lineRule="auto"/>
        <w:textAlignment w:val="auto"/>
        <w:rPr>
          <w:rFonts w:hint="eastAsia" w:ascii="仿宋_GB2312" w:hAnsi="仿宋_GB2312" w:eastAsia="仿宋_GB2312" w:cs="仿宋_GB2312"/>
          <w:spacing w:val="0"/>
          <w:sz w:val="32"/>
          <w:szCs w:val="32"/>
        </w:rPr>
      </w:pPr>
    </w:p>
    <w:p w14:paraId="6A00688A">
      <w:pPr>
        <w:keepNext w:val="0"/>
        <w:keepLines w:val="0"/>
        <w:pageBreakBefore w:val="0"/>
        <w:widowControl w:val="0"/>
        <w:kinsoku/>
        <w:wordWrap/>
        <w:overflowPunct/>
        <w:topLinePunct w:val="0"/>
        <w:bidi w:val="0"/>
        <w:adjustRightInd w:val="0"/>
        <w:snapToGrid/>
        <w:spacing w:line="240" w:lineRule="auto"/>
        <w:textAlignment w:val="auto"/>
        <w:rPr>
          <w:rFonts w:hint="eastAsia" w:ascii="仿宋_GB2312" w:hAnsi="仿宋_GB2312" w:eastAsia="仿宋_GB2312" w:cs="仿宋_GB2312"/>
          <w:spacing w:val="0"/>
          <w:sz w:val="32"/>
          <w:szCs w:val="32"/>
        </w:rPr>
        <w:sectPr>
          <w:footerReference r:id="rId10" w:type="default"/>
          <w:pgSz w:w="11906" w:h="16838"/>
          <w:pgMar w:top="1440" w:right="1247" w:bottom="1440" w:left="1587" w:header="851" w:footer="992" w:gutter="0"/>
          <w:pgNumType w:fmt="numberInDash"/>
          <w:cols w:space="720" w:num="1"/>
          <w:docGrid w:type="lines" w:linePitch="312" w:charSpace="0"/>
        </w:sectPr>
      </w:pPr>
    </w:p>
    <w:p w14:paraId="3B96BCE4">
      <w:pPr>
        <w:keepNext w:val="0"/>
        <w:keepLines w:val="0"/>
        <w:pageBreakBefore w:val="0"/>
        <w:widowControl w:val="0"/>
        <w:numPr>
          <w:ilvl w:val="0"/>
          <w:numId w:val="0"/>
        </w:numPr>
        <w:kinsoku/>
        <w:wordWrap/>
        <w:overflowPunct/>
        <w:topLinePunct w:val="0"/>
        <w:bidi w:val="0"/>
        <w:adjustRightInd w:val="0"/>
        <w:snapToGrid/>
        <w:spacing w:line="240" w:lineRule="auto"/>
        <w:jc w:val="center"/>
        <w:textAlignment w:val="auto"/>
        <w:outlineLvl w:val="1"/>
        <w:rPr>
          <w:rFonts w:hint="eastAsia" w:ascii="黑体" w:hAnsi="黑体" w:eastAsia="黑体" w:cs="黑体"/>
          <w:bCs/>
          <w:spacing w:val="0"/>
          <w:kern w:val="2"/>
          <w:sz w:val="32"/>
          <w:szCs w:val="32"/>
          <w:lang w:val="en-US" w:eastAsia="zh-CN" w:bidi="ar-SA"/>
        </w:rPr>
      </w:pPr>
      <w:bookmarkStart w:id="26" w:name="_Toc9464"/>
      <w:bookmarkStart w:id="27" w:name="_Toc11903"/>
      <w:r>
        <w:rPr>
          <w:rFonts w:hint="eastAsia" w:ascii="黑体" w:hAnsi="黑体" w:eastAsia="黑体" w:cs="黑体"/>
          <w:bCs/>
          <w:spacing w:val="0"/>
          <w:kern w:val="2"/>
          <w:sz w:val="32"/>
          <w:szCs w:val="32"/>
          <w:lang w:val="en-US" w:eastAsia="zh-CN" w:bidi="ar-SA"/>
        </w:rPr>
        <w:t>三、工程复查评分标准——</w:t>
      </w:r>
      <w:bookmarkEnd w:id="26"/>
      <w:r>
        <w:rPr>
          <w:rFonts w:hint="eastAsia" w:ascii="黑体" w:hAnsi="黑体" w:eastAsia="黑体" w:cs="黑体"/>
          <w:bCs/>
          <w:spacing w:val="0"/>
          <w:kern w:val="2"/>
          <w:sz w:val="32"/>
          <w:szCs w:val="32"/>
          <w:lang w:val="en-US" w:eastAsia="zh-CN" w:bidi="ar-SA"/>
        </w:rPr>
        <w:t>公共建筑装饰设计</w:t>
      </w:r>
      <w:bookmarkEnd w:id="27"/>
    </w:p>
    <w:tbl>
      <w:tblPr>
        <w:tblStyle w:val="25"/>
        <w:tblW w:w="14346" w:type="dxa"/>
        <w:tblInd w:w="-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1365"/>
        <w:gridCol w:w="4752"/>
        <w:gridCol w:w="2409"/>
        <w:gridCol w:w="1701"/>
        <w:gridCol w:w="851"/>
        <w:gridCol w:w="2394"/>
      </w:tblGrid>
      <w:tr w14:paraId="423C7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4" w:type="dxa"/>
            <w:tcBorders>
              <w:top w:val="single" w:color="auto" w:sz="4" w:space="0"/>
              <w:left w:val="single" w:color="auto" w:sz="4" w:space="0"/>
              <w:bottom w:val="single" w:color="auto" w:sz="4" w:space="0"/>
              <w:right w:val="single" w:color="auto" w:sz="4" w:space="0"/>
            </w:tcBorders>
            <w:noWrap w:val="0"/>
            <w:vAlign w:val="center"/>
          </w:tcPr>
          <w:p w14:paraId="1D44B165">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序号</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437D765B">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复查项目</w:t>
            </w:r>
          </w:p>
        </w:tc>
        <w:tc>
          <w:tcPr>
            <w:tcW w:w="4752" w:type="dxa"/>
            <w:tcBorders>
              <w:top w:val="single" w:color="auto" w:sz="4" w:space="0"/>
              <w:left w:val="single" w:color="auto" w:sz="4" w:space="0"/>
              <w:bottom w:val="single" w:color="auto" w:sz="4" w:space="0"/>
              <w:right w:val="single" w:color="auto" w:sz="4" w:space="0"/>
            </w:tcBorders>
            <w:noWrap w:val="0"/>
            <w:vAlign w:val="center"/>
          </w:tcPr>
          <w:p w14:paraId="48A210A5">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复查内容</w:t>
            </w:r>
          </w:p>
        </w:tc>
        <w:tc>
          <w:tcPr>
            <w:tcW w:w="2409" w:type="dxa"/>
            <w:tcBorders>
              <w:top w:val="single" w:color="auto" w:sz="4" w:space="0"/>
              <w:left w:val="single" w:color="auto" w:sz="4" w:space="0"/>
              <w:bottom w:val="single" w:color="auto" w:sz="4" w:space="0"/>
              <w:right w:val="single" w:color="auto" w:sz="4" w:space="0"/>
            </w:tcBorders>
            <w:noWrap w:val="0"/>
            <w:vAlign w:val="center"/>
          </w:tcPr>
          <w:p w14:paraId="44CB3FDB">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C736ACF">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2B849384">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分值</w:t>
            </w:r>
          </w:p>
        </w:tc>
        <w:tc>
          <w:tcPr>
            <w:tcW w:w="2394" w:type="dxa"/>
            <w:tcBorders>
              <w:top w:val="single" w:color="auto" w:sz="4" w:space="0"/>
              <w:left w:val="single" w:color="auto" w:sz="4" w:space="0"/>
              <w:bottom w:val="single" w:color="auto" w:sz="4" w:space="0"/>
              <w:right w:val="single" w:color="auto" w:sz="4" w:space="0"/>
            </w:tcBorders>
            <w:noWrap w:val="0"/>
            <w:vAlign w:val="center"/>
          </w:tcPr>
          <w:p w14:paraId="3833EFE9">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复查方法</w:t>
            </w:r>
          </w:p>
        </w:tc>
      </w:tr>
      <w:tr w14:paraId="412FB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0" w:hRule="atLeast"/>
        </w:trPr>
        <w:tc>
          <w:tcPr>
            <w:tcW w:w="874" w:type="dxa"/>
            <w:tcBorders>
              <w:top w:val="single" w:color="auto" w:sz="4" w:space="0"/>
              <w:left w:val="single" w:color="auto" w:sz="4" w:space="0"/>
              <w:right w:val="single" w:color="auto" w:sz="4" w:space="0"/>
            </w:tcBorders>
            <w:noWrap w:val="0"/>
            <w:vAlign w:val="center"/>
          </w:tcPr>
          <w:p w14:paraId="54A32CA8">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w:t>
            </w:r>
          </w:p>
        </w:tc>
        <w:tc>
          <w:tcPr>
            <w:tcW w:w="1365" w:type="dxa"/>
            <w:tcBorders>
              <w:top w:val="single" w:color="auto" w:sz="4" w:space="0"/>
              <w:left w:val="single" w:color="auto" w:sz="4" w:space="0"/>
              <w:right w:val="single" w:color="auto" w:sz="4" w:space="0"/>
            </w:tcBorders>
            <w:noWrap w:val="0"/>
            <w:vAlign w:val="center"/>
          </w:tcPr>
          <w:p w14:paraId="5A43E62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资料</w:t>
            </w:r>
          </w:p>
        </w:tc>
        <w:tc>
          <w:tcPr>
            <w:tcW w:w="4752" w:type="dxa"/>
            <w:tcBorders>
              <w:top w:val="single" w:color="auto" w:sz="4" w:space="0"/>
              <w:left w:val="single" w:color="auto" w:sz="4" w:space="0"/>
              <w:bottom w:val="single" w:color="auto" w:sz="4" w:space="0"/>
              <w:right w:val="single" w:color="auto" w:sz="4" w:space="0"/>
            </w:tcBorders>
            <w:noWrap w:val="0"/>
            <w:vAlign w:val="center"/>
          </w:tcPr>
          <w:p w14:paraId="3606BBA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spacing w:val="0"/>
                <w:szCs w:val="21"/>
              </w:rPr>
            </w:pPr>
            <w:r>
              <w:rPr>
                <w:rFonts w:hint="eastAsia" w:ascii="方正仿宋_GB2312" w:hAnsi="方正仿宋_GB2312" w:eastAsia="方正仿宋_GB2312" w:cs="方正仿宋_GB2312"/>
                <w:b/>
                <w:spacing w:val="0"/>
                <w:szCs w:val="21"/>
              </w:rPr>
              <w:t>必要文件：</w:t>
            </w:r>
          </w:p>
          <w:p w14:paraId="55141FD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1.企业营业证照、设计资质证书（此两项上一年度参评企业可提供加盖本单位公章的复印件）；</w:t>
            </w:r>
          </w:p>
          <w:p w14:paraId="39F03A5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 xml:space="preserve">2.主要设计人员执业资格证书或技术职称证书； </w:t>
            </w:r>
          </w:p>
          <w:p w14:paraId="44E1399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w:t>
            </w:r>
            <w:r>
              <w:rPr>
                <w:rFonts w:hint="eastAsia" w:ascii="方正仿宋_GB2312" w:hAnsi="方正仿宋_GB2312" w:eastAsia="方正仿宋_GB2312" w:cs="方正仿宋_GB2312"/>
                <w:bCs/>
                <w:spacing w:val="0"/>
                <w:szCs w:val="21"/>
              </w:rPr>
              <w:t>设计合同</w:t>
            </w:r>
            <w:r>
              <w:rPr>
                <w:rFonts w:hint="eastAsia" w:ascii="方正仿宋_GB2312" w:hAnsi="方正仿宋_GB2312" w:eastAsia="方正仿宋_GB2312" w:cs="方正仿宋_GB2312"/>
                <w:spacing w:val="0"/>
                <w:szCs w:val="21"/>
              </w:rPr>
              <w:t>；</w:t>
            </w:r>
          </w:p>
          <w:p w14:paraId="314B6ED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Cs/>
                <w:spacing w:val="0"/>
                <w:szCs w:val="21"/>
              </w:rPr>
            </w:pPr>
            <w:r>
              <w:rPr>
                <w:rFonts w:hint="eastAsia" w:ascii="方正仿宋_GB2312" w:hAnsi="方正仿宋_GB2312" w:eastAsia="方正仿宋_GB2312" w:cs="方正仿宋_GB2312"/>
                <w:spacing w:val="0"/>
                <w:szCs w:val="21"/>
              </w:rPr>
              <w:t>4.</w:t>
            </w:r>
            <w:r>
              <w:rPr>
                <w:rFonts w:hint="eastAsia" w:ascii="方正仿宋_GB2312" w:hAnsi="方正仿宋_GB2312" w:eastAsia="方正仿宋_GB2312" w:cs="方正仿宋_GB2312"/>
                <w:bCs/>
                <w:spacing w:val="0"/>
                <w:szCs w:val="21"/>
              </w:rPr>
              <w:t>消防审查合格文件；</w:t>
            </w:r>
          </w:p>
          <w:p w14:paraId="3E3A972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Cs/>
                <w:spacing w:val="0"/>
                <w:szCs w:val="21"/>
              </w:rPr>
            </w:pPr>
            <w:r>
              <w:rPr>
                <w:rFonts w:hint="eastAsia" w:ascii="方正仿宋_GB2312" w:hAnsi="方正仿宋_GB2312" w:eastAsia="方正仿宋_GB2312" w:cs="方正仿宋_GB2312"/>
                <w:spacing w:val="0"/>
                <w:szCs w:val="21"/>
              </w:rPr>
              <w:t>5.</w:t>
            </w:r>
            <w:r>
              <w:rPr>
                <w:rFonts w:hint="eastAsia" w:ascii="方正仿宋_GB2312" w:hAnsi="方正仿宋_GB2312" w:eastAsia="方正仿宋_GB2312" w:cs="方正仿宋_GB2312"/>
                <w:bCs/>
                <w:spacing w:val="0"/>
                <w:szCs w:val="21"/>
              </w:rPr>
              <w:t>施工图审查意见合格文件；</w:t>
            </w:r>
          </w:p>
          <w:p w14:paraId="2EB4F49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Cs/>
                <w:spacing w:val="0"/>
                <w:szCs w:val="21"/>
              </w:rPr>
            </w:pPr>
            <w:r>
              <w:rPr>
                <w:rFonts w:hint="eastAsia" w:ascii="方正仿宋_GB2312" w:hAnsi="方正仿宋_GB2312" w:eastAsia="方正仿宋_GB2312" w:cs="方正仿宋_GB2312"/>
                <w:spacing w:val="0"/>
                <w:szCs w:val="21"/>
              </w:rPr>
              <w:t>6.</w:t>
            </w:r>
            <w:r>
              <w:rPr>
                <w:rFonts w:hint="eastAsia" w:ascii="方正仿宋_GB2312" w:hAnsi="方正仿宋_GB2312" w:eastAsia="方正仿宋_GB2312" w:cs="方正仿宋_GB2312"/>
                <w:bCs/>
                <w:spacing w:val="0"/>
                <w:szCs w:val="21"/>
              </w:rPr>
              <w:t>消防验收意见书或消防竣工备案；</w:t>
            </w:r>
          </w:p>
          <w:p w14:paraId="4F75BD0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w:t>
            </w:r>
            <w:r>
              <w:rPr>
                <w:rFonts w:hint="eastAsia" w:ascii="方正仿宋_GB2312" w:hAnsi="方正仿宋_GB2312" w:eastAsia="方正仿宋_GB2312" w:cs="方正仿宋_GB2312"/>
                <w:bCs/>
                <w:spacing w:val="0"/>
                <w:szCs w:val="21"/>
              </w:rPr>
              <w:t>工程竣工验收记录</w:t>
            </w:r>
          </w:p>
        </w:tc>
        <w:tc>
          <w:tcPr>
            <w:tcW w:w="2409" w:type="dxa"/>
            <w:tcBorders>
              <w:top w:val="single" w:color="auto" w:sz="4" w:space="0"/>
              <w:left w:val="single" w:color="auto" w:sz="4" w:space="0"/>
              <w:bottom w:val="single" w:color="auto" w:sz="4" w:space="0"/>
              <w:right w:val="single" w:color="auto" w:sz="4" w:space="0"/>
            </w:tcBorders>
            <w:noWrap w:val="0"/>
            <w:vAlign w:val="center"/>
          </w:tcPr>
          <w:p w14:paraId="3D5E655C">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必要文件有一项不合格或不符合要求者不予评审</w:t>
            </w:r>
          </w:p>
        </w:tc>
        <w:tc>
          <w:tcPr>
            <w:tcW w:w="1701" w:type="dxa"/>
            <w:tcBorders>
              <w:top w:val="single" w:color="auto" w:sz="4" w:space="0"/>
              <w:left w:val="single" w:color="auto" w:sz="4" w:space="0"/>
              <w:right w:val="single" w:color="auto" w:sz="4" w:space="0"/>
            </w:tcBorders>
            <w:noWrap w:val="0"/>
            <w:vAlign w:val="center"/>
          </w:tcPr>
          <w:p w14:paraId="1DEE6B32">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必要文件应为原件或可网查的电子文件打印件并加盖申报单位鲜章</w:t>
            </w:r>
          </w:p>
        </w:tc>
        <w:tc>
          <w:tcPr>
            <w:tcW w:w="851" w:type="dxa"/>
            <w:tcBorders>
              <w:top w:val="single" w:color="auto" w:sz="4" w:space="0"/>
              <w:left w:val="single" w:color="auto" w:sz="4" w:space="0"/>
              <w:right w:val="single" w:color="auto" w:sz="4" w:space="0"/>
            </w:tcBorders>
            <w:noWrap w:val="0"/>
            <w:vAlign w:val="center"/>
          </w:tcPr>
          <w:p w14:paraId="2D857A5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20分</w:t>
            </w:r>
          </w:p>
        </w:tc>
        <w:tc>
          <w:tcPr>
            <w:tcW w:w="2394" w:type="dxa"/>
            <w:tcBorders>
              <w:top w:val="single" w:color="auto" w:sz="4" w:space="0"/>
              <w:left w:val="single" w:color="auto" w:sz="4" w:space="0"/>
              <w:right w:val="single" w:color="auto" w:sz="4" w:space="0"/>
            </w:tcBorders>
            <w:noWrap w:val="0"/>
            <w:vAlign w:val="center"/>
          </w:tcPr>
          <w:p w14:paraId="0C59B7AB">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w:t>
            </w:r>
          </w:p>
          <w:p w14:paraId="4B4EF701">
            <w:pPr>
              <w:keepNext w:val="0"/>
              <w:keepLines w:val="0"/>
              <w:pageBreakBefore w:val="0"/>
              <w:widowControl w:val="0"/>
              <w:kinsoku/>
              <w:wordWrap/>
              <w:overflowPunct/>
              <w:topLinePunct w:val="0"/>
              <w:bidi w:val="0"/>
              <w:snapToGrid/>
              <w:spacing w:line="240" w:lineRule="auto"/>
              <w:ind w:firstLine="420" w:firstLineChars="20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相关资质、资料原件或盖有存档单位印章的复印件的有效性；相关图章、图签、签字、认可文件等。</w:t>
            </w:r>
          </w:p>
        </w:tc>
      </w:tr>
      <w:tr w14:paraId="5A85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8" w:hRule="atLeast"/>
        </w:trPr>
        <w:tc>
          <w:tcPr>
            <w:tcW w:w="874" w:type="dxa"/>
            <w:tcBorders>
              <w:top w:val="single" w:color="auto" w:sz="4" w:space="0"/>
              <w:left w:val="single" w:color="auto" w:sz="4" w:space="0"/>
              <w:right w:val="single" w:color="auto" w:sz="4" w:space="0"/>
            </w:tcBorders>
            <w:noWrap w:val="0"/>
            <w:vAlign w:val="center"/>
          </w:tcPr>
          <w:p w14:paraId="389B439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w:t>
            </w:r>
          </w:p>
        </w:tc>
        <w:tc>
          <w:tcPr>
            <w:tcW w:w="1365" w:type="dxa"/>
            <w:tcBorders>
              <w:top w:val="single" w:color="auto" w:sz="4" w:space="0"/>
              <w:left w:val="single" w:color="auto" w:sz="4" w:space="0"/>
              <w:right w:val="single" w:color="auto" w:sz="4" w:space="0"/>
            </w:tcBorders>
            <w:noWrap w:val="0"/>
            <w:vAlign w:val="center"/>
          </w:tcPr>
          <w:p w14:paraId="66B588B1">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设计图纸</w:t>
            </w:r>
          </w:p>
        </w:tc>
        <w:tc>
          <w:tcPr>
            <w:tcW w:w="4752" w:type="dxa"/>
            <w:tcBorders>
              <w:top w:val="single" w:color="auto" w:sz="4" w:space="0"/>
              <w:left w:val="single" w:color="auto" w:sz="4" w:space="0"/>
              <w:bottom w:val="single" w:color="auto" w:sz="4" w:space="0"/>
              <w:right w:val="single" w:color="auto" w:sz="4" w:space="0"/>
            </w:tcBorders>
            <w:noWrap w:val="0"/>
            <w:vAlign w:val="center"/>
          </w:tcPr>
          <w:p w14:paraId="702BAF4A">
            <w:pPr>
              <w:keepNext w:val="0"/>
              <w:keepLines w:val="0"/>
              <w:pageBreakBefore w:val="0"/>
              <w:widowControl w:val="0"/>
              <w:numPr>
                <w:ilvl w:val="0"/>
                <w:numId w:val="1"/>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b/>
                <w:spacing w:val="0"/>
                <w:szCs w:val="21"/>
              </w:rPr>
            </w:pPr>
            <w:r>
              <w:rPr>
                <w:rFonts w:hint="eastAsia" w:ascii="方正仿宋_GB2312" w:hAnsi="方正仿宋_GB2312" w:eastAsia="方正仿宋_GB2312" w:cs="方正仿宋_GB2312"/>
                <w:b/>
                <w:spacing w:val="0"/>
                <w:szCs w:val="21"/>
              </w:rPr>
              <w:t>方案设计</w:t>
            </w:r>
          </w:p>
          <w:p w14:paraId="0C697D8E">
            <w:pPr>
              <w:keepNext w:val="0"/>
              <w:keepLines w:val="0"/>
              <w:pageBreakBefore w:val="0"/>
              <w:widowControl w:val="0"/>
              <w:numPr>
                <w:ilvl w:val="0"/>
                <w:numId w:val="2"/>
              </w:numPr>
              <w:kinsoku/>
              <w:wordWrap/>
              <w:overflowPunct/>
              <w:topLinePunct w:val="0"/>
              <w:bidi w:val="0"/>
              <w:snapToGrid/>
              <w:spacing w:line="240" w:lineRule="auto"/>
              <w:ind w:left="360" w:hanging="36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设计理念构思</w:t>
            </w:r>
          </w:p>
          <w:p w14:paraId="27D3CC26">
            <w:pPr>
              <w:keepNext w:val="0"/>
              <w:keepLines w:val="0"/>
              <w:pageBreakBefore w:val="0"/>
              <w:widowControl w:val="0"/>
              <w:numPr>
                <w:ilvl w:val="0"/>
                <w:numId w:val="2"/>
              </w:numPr>
              <w:kinsoku/>
              <w:wordWrap/>
              <w:overflowPunct/>
              <w:topLinePunct w:val="0"/>
              <w:bidi w:val="0"/>
              <w:snapToGrid/>
              <w:spacing w:line="240" w:lineRule="auto"/>
              <w:ind w:left="360" w:hanging="36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总体布局</w:t>
            </w:r>
          </w:p>
          <w:p w14:paraId="58737AAE">
            <w:pPr>
              <w:keepNext w:val="0"/>
              <w:keepLines w:val="0"/>
              <w:pageBreakBefore w:val="0"/>
              <w:widowControl w:val="0"/>
              <w:numPr>
                <w:ilvl w:val="0"/>
                <w:numId w:val="2"/>
              </w:numPr>
              <w:kinsoku/>
              <w:wordWrap/>
              <w:overflowPunct/>
              <w:topLinePunct w:val="0"/>
              <w:bidi w:val="0"/>
              <w:snapToGrid/>
              <w:spacing w:line="240" w:lineRule="auto"/>
              <w:ind w:left="360" w:hanging="36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效果图</w:t>
            </w:r>
          </w:p>
          <w:p w14:paraId="26BEE1A2">
            <w:pPr>
              <w:keepNext w:val="0"/>
              <w:keepLines w:val="0"/>
              <w:pageBreakBefore w:val="0"/>
              <w:widowControl w:val="0"/>
              <w:numPr>
                <w:ilvl w:val="0"/>
                <w:numId w:val="3"/>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b/>
                <w:spacing w:val="0"/>
                <w:szCs w:val="21"/>
              </w:rPr>
            </w:pPr>
            <w:r>
              <w:rPr>
                <w:rFonts w:hint="eastAsia" w:ascii="方正仿宋_GB2312" w:hAnsi="方正仿宋_GB2312" w:eastAsia="方正仿宋_GB2312" w:cs="方正仿宋_GB2312"/>
                <w:b/>
                <w:spacing w:val="0"/>
                <w:szCs w:val="21"/>
              </w:rPr>
              <w:t>施工图设计</w:t>
            </w:r>
          </w:p>
          <w:p w14:paraId="647259E0">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内容应包含但不限于</w:t>
            </w:r>
          </w:p>
          <w:p w14:paraId="4D2647C4">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设计说明（引用规范是否合理）</w:t>
            </w:r>
          </w:p>
          <w:p w14:paraId="33095C87">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目录</w:t>
            </w:r>
          </w:p>
          <w:p w14:paraId="1C68A4C2">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图例、索引</w:t>
            </w:r>
          </w:p>
          <w:p w14:paraId="5EADE238">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材料做法表</w:t>
            </w:r>
          </w:p>
          <w:p w14:paraId="1A5DD323">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设备选型表</w:t>
            </w:r>
          </w:p>
          <w:p w14:paraId="43CC3B08">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平面图布置（功能合理性、消防分区、消费通道等是否合理）</w:t>
            </w:r>
          </w:p>
          <w:p w14:paraId="16486606">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综合天花图（排布美观、符合相关规范）</w:t>
            </w:r>
          </w:p>
          <w:p w14:paraId="095ADF4A">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立面图</w:t>
            </w:r>
          </w:p>
          <w:p w14:paraId="6286FD3A">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剖面图、节点图</w:t>
            </w:r>
          </w:p>
          <w:p w14:paraId="6E3B89CA">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bCs/>
                <w:spacing w:val="0"/>
                <w:szCs w:val="21"/>
              </w:rPr>
            </w:pPr>
            <w:r>
              <w:rPr>
                <w:rFonts w:hint="eastAsia" w:ascii="方正仿宋_GB2312" w:hAnsi="方正仿宋_GB2312" w:eastAsia="方正仿宋_GB2312" w:cs="方正仿宋_GB2312"/>
                <w:spacing w:val="0"/>
                <w:szCs w:val="21"/>
              </w:rPr>
              <w:t>相关专业图纸（包括暖通、空调、给排水、强弱电、建筑智能化等）的完整性</w:t>
            </w:r>
          </w:p>
          <w:p w14:paraId="37666106">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bCs/>
                <w:spacing w:val="0"/>
                <w:szCs w:val="21"/>
              </w:rPr>
              <w:t>审批手续齐全并盖有出图章、竣工图章、审图章、设计师签字</w:t>
            </w:r>
          </w:p>
          <w:p w14:paraId="7BE6A3F8">
            <w:pPr>
              <w:keepNext w:val="0"/>
              <w:keepLines w:val="0"/>
              <w:pageBreakBefore w:val="0"/>
              <w:widowControl w:val="0"/>
              <w:numPr>
                <w:ilvl w:val="0"/>
                <w:numId w:val="4"/>
              </w:numPr>
              <w:kinsoku/>
              <w:wordWrap/>
              <w:overflowPunct/>
              <w:topLinePunct w:val="0"/>
              <w:bidi w:val="0"/>
              <w:snapToGrid/>
              <w:spacing w:line="240" w:lineRule="auto"/>
              <w:ind w:left="440" w:hanging="44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涉及改动主体结构或增加重型荷载的须提供原设</w:t>
            </w:r>
            <w:r>
              <w:rPr>
                <w:rFonts w:hint="eastAsia" w:ascii="方正仿宋_GB2312" w:hAnsi="方正仿宋_GB2312" w:eastAsia="方正仿宋_GB2312" w:cs="方正仿宋_GB2312"/>
                <w:spacing w:val="-6"/>
                <w:sz w:val="21"/>
                <w:szCs w:val="21"/>
              </w:rPr>
              <w:t>计单位或有相应资质条件的设计单位证明文件</w:t>
            </w:r>
            <w:r>
              <w:rPr>
                <w:rFonts w:hint="eastAsia" w:ascii="方正仿宋_GB2312" w:hAnsi="方正仿宋_GB2312" w:eastAsia="方正仿宋_GB2312" w:cs="方正仿宋_GB2312"/>
                <w:spacing w:val="0"/>
                <w:szCs w:val="21"/>
              </w:rPr>
              <w:t>。</w:t>
            </w:r>
          </w:p>
        </w:tc>
        <w:tc>
          <w:tcPr>
            <w:tcW w:w="2409" w:type="dxa"/>
            <w:tcBorders>
              <w:top w:val="single" w:color="auto" w:sz="4" w:space="0"/>
              <w:left w:val="single" w:color="auto" w:sz="4" w:space="0"/>
              <w:bottom w:val="single" w:color="auto" w:sz="4" w:space="0"/>
              <w:right w:val="single" w:color="auto" w:sz="4" w:space="0"/>
            </w:tcBorders>
            <w:noWrap w:val="0"/>
            <w:vAlign w:val="center"/>
          </w:tcPr>
          <w:p w14:paraId="134F2B56">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1.方案总体设计布局合理性3-10分；</w:t>
            </w:r>
          </w:p>
          <w:p w14:paraId="5E16CF0F">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2.设计构思新颖性，风格独特性3-10分；</w:t>
            </w:r>
          </w:p>
          <w:p w14:paraId="213A711A">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3.在节能绿色环保方面是否有所创新1-5分；</w:t>
            </w:r>
          </w:p>
          <w:p w14:paraId="068B49DF">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4.施工图中出现差错，每处扣0.5-2分；</w:t>
            </w:r>
          </w:p>
          <w:p w14:paraId="3AD72A32">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 图纸未经审查、没盖出图章等每缺一项扣3-5分；</w:t>
            </w:r>
          </w:p>
          <w:p w14:paraId="52D31DE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6.部分平面、立面、剖面图，主要节点图不全或有错误,每一项扣2-5分；</w:t>
            </w:r>
          </w:p>
          <w:p w14:paraId="638F8D45">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7.节点设计不符合标准、规范要求每发现一处扣2-5分；</w:t>
            </w:r>
          </w:p>
          <w:p w14:paraId="03873672">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8.施工图与工程实体不符并未有变更，每发现一处扣3-5分；</w:t>
            </w:r>
          </w:p>
        </w:tc>
        <w:tc>
          <w:tcPr>
            <w:tcW w:w="1701" w:type="dxa"/>
            <w:tcBorders>
              <w:top w:val="single" w:color="auto" w:sz="4" w:space="0"/>
              <w:left w:val="single" w:color="auto" w:sz="4" w:space="0"/>
              <w:right w:val="single" w:color="auto" w:sz="4" w:space="0"/>
            </w:tcBorders>
            <w:noWrap w:val="0"/>
            <w:vAlign w:val="center"/>
          </w:tcPr>
          <w:p w14:paraId="75D1B81F">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1.图纸违反国家强制性规范标准（涉及安全的有关内容）；</w:t>
            </w:r>
          </w:p>
          <w:p w14:paraId="7264C353">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2.图纸内容严重缺失或存在严重问题，主要内容应包括：</w:t>
            </w:r>
          </w:p>
          <w:p w14:paraId="1B1ABA6C">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1.石材干挂（包括过顶石）；</w:t>
            </w:r>
          </w:p>
          <w:p w14:paraId="744B1D72">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2.栏杆栏板；</w:t>
            </w:r>
          </w:p>
          <w:p w14:paraId="5DEB632C">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3.吊顶转换层；</w:t>
            </w:r>
          </w:p>
          <w:p w14:paraId="69FCEF09">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4.安全玻璃：吊顶玻璃、落地窗、临空玻璃栏板；</w:t>
            </w:r>
          </w:p>
          <w:p w14:paraId="40F8AC91">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5.消火栓箱；</w:t>
            </w:r>
          </w:p>
          <w:p w14:paraId="7F1FE7DA">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6.大型灯具安装节点；</w:t>
            </w:r>
          </w:p>
          <w:p w14:paraId="7ADA8DEE">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7.结构改造。</w:t>
            </w:r>
          </w:p>
        </w:tc>
        <w:tc>
          <w:tcPr>
            <w:tcW w:w="851" w:type="dxa"/>
            <w:tcBorders>
              <w:top w:val="single" w:color="auto" w:sz="4" w:space="0"/>
              <w:left w:val="single" w:color="auto" w:sz="4" w:space="0"/>
              <w:right w:val="single" w:color="auto" w:sz="4" w:space="0"/>
            </w:tcBorders>
            <w:noWrap w:val="0"/>
            <w:vAlign w:val="center"/>
          </w:tcPr>
          <w:p w14:paraId="66C1B64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55分</w:t>
            </w:r>
          </w:p>
        </w:tc>
        <w:tc>
          <w:tcPr>
            <w:tcW w:w="2394" w:type="dxa"/>
            <w:tcBorders>
              <w:top w:val="single" w:color="auto" w:sz="4" w:space="0"/>
              <w:left w:val="single" w:color="auto" w:sz="4" w:space="0"/>
              <w:right w:val="single" w:color="auto" w:sz="4" w:space="0"/>
            </w:tcBorders>
            <w:noWrap w:val="0"/>
            <w:vAlign w:val="center"/>
          </w:tcPr>
          <w:p w14:paraId="59388D2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w:t>
            </w:r>
          </w:p>
          <w:p w14:paraId="6112C37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1.方案设计理念及创意亮点鲜明的独特性；设计布局的实用性、合理性。</w:t>
            </w:r>
          </w:p>
          <w:p w14:paraId="3E81628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2.施工图纸设计内容的完整性、规范性；</w:t>
            </w:r>
          </w:p>
          <w:p w14:paraId="6FC6C3B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3.设计图纸与工程实体是否存在不一致性；</w:t>
            </w:r>
          </w:p>
          <w:p w14:paraId="43E08D0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4.专业设备安装排布是否美观、并符合相关技术规范。</w:t>
            </w:r>
          </w:p>
        </w:tc>
      </w:tr>
      <w:tr w14:paraId="2CB92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74" w:type="dxa"/>
            <w:tcBorders>
              <w:top w:val="single" w:color="auto" w:sz="4" w:space="0"/>
              <w:left w:val="single" w:color="auto" w:sz="4" w:space="0"/>
              <w:right w:val="single" w:color="auto" w:sz="4" w:space="0"/>
            </w:tcBorders>
            <w:noWrap w:val="0"/>
            <w:vAlign w:val="center"/>
          </w:tcPr>
          <w:p w14:paraId="22BA58B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w:t>
            </w:r>
          </w:p>
        </w:tc>
        <w:tc>
          <w:tcPr>
            <w:tcW w:w="1365" w:type="dxa"/>
            <w:tcBorders>
              <w:top w:val="single" w:color="auto" w:sz="4" w:space="0"/>
              <w:left w:val="single" w:color="auto" w:sz="4" w:space="0"/>
              <w:right w:val="single" w:color="auto" w:sz="4" w:space="0"/>
            </w:tcBorders>
            <w:noWrap w:val="0"/>
            <w:vAlign w:val="center"/>
          </w:tcPr>
          <w:p w14:paraId="09131821">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设计效果</w:t>
            </w:r>
          </w:p>
        </w:tc>
        <w:tc>
          <w:tcPr>
            <w:tcW w:w="4752" w:type="dxa"/>
            <w:tcBorders>
              <w:top w:val="single" w:color="auto" w:sz="4" w:space="0"/>
              <w:left w:val="single" w:color="auto" w:sz="4" w:space="0"/>
              <w:bottom w:val="single" w:color="auto" w:sz="4" w:space="0"/>
              <w:right w:val="single" w:color="auto" w:sz="4" w:space="0"/>
            </w:tcBorders>
            <w:noWrap w:val="0"/>
            <w:vAlign w:val="center"/>
          </w:tcPr>
          <w:p w14:paraId="47FDFF8A">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1.安全性、功能性、美学效果；</w:t>
            </w:r>
          </w:p>
          <w:p w14:paraId="35E9A8C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2.功能与艺术相结合的完美性；</w:t>
            </w:r>
          </w:p>
        </w:tc>
        <w:tc>
          <w:tcPr>
            <w:tcW w:w="2409" w:type="dxa"/>
            <w:tcBorders>
              <w:top w:val="single" w:color="auto" w:sz="4" w:space="0"/>
              <w:left w:val="single" w:color="auto" w:sz="4" w:space="0"/>
              <w:bottom w:val="single" w:color="auto" w:sz="4" w:space="0"/>
              <w:right w:val="single" w:color="auto" w:sz="4" w:space="0"/>
            </w:tcBorders>
            <w:noWrap w:val="0"/>
            <w:vAlign w:val="center"/>
          </w:tcPr>
          <w:p w14:paraId="05CE25E7">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1.安全性、功能性欠佳扣1-6分；</w:t>
            </w:r>
          </w:p>
          <w:p w14:paraId="3D93584A">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2.美学效果欠佳扣1-5分。</w:t>
            </w:r>
          </w:p>
        </w:tc>
        <w:tc>
          <w:tcPr>
            <w:tcW w:w="1701" w:type="dxa"/>
            <w:tcBorders>
              <w:top w:val="single" w:color="auto" w:sz="4" w:space="0"/>
              <w:left w:val="single" w:color="auto" w:sz="4" w:space="0"/>
              <w:right w:val="single" w:color="auto" w:sz="4" w:space="0"/>
            </w:tcBorders>
            <w:noWrap w:val="0"/>
            <w:vAlign w:val="center"/>
          </w:tcPr>
          <w:p w14:paraId="752B0342">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p>
        </w:tc>
        <w:tc>
          <w:tcPr>
            <w:tcW w:w="851" w:type="dxa"/>
            <w:tcBorders>
              <w:top w:val="single" w:color="auto" w:sz="4" w:space="0"/>
              <w:left w:val="single" w:color="auto" w:sz="4" w:space="0"/>
              <w:right w:val="single" w:color="auto" w:sz="4" w:space="0"/>
            </w:tcBorders>
            <w:noWrap w:val="0"/>
            <w:vAlign w:val="center"/>
          </w:tcPr>
          <w:p w14:paraId="0C26DCA0">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10分</w:t>
            </w:r>
          </w:p>
        </w:tc>
        <w:tc>
          <w:tcPr>
            <w:tcW w:w="2394" w:type="dxa"/>
            <w:tcBorders>
              <w:top w:val="single" w:color="auto" w:sz="4" w:space="0"/>
              <w:left w:val="single" w:color="auto" w:sz="4" w:space="0"/>
              <w:right w:val="single" w:color="auto" w:sz="4" w:space="0"/>
            </w:tcBorders>
            <w:noWrap w:val="0"/>
            <w:vAlign w:val="center"/>
          </w:tcPr>
          <w:p w14:paraId="0AD6027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查：设计图纸、工程实体</w:t>
            </w:r>
          </w:p>
        </w:tc>
      </w:tr>
      <w:tr w14:paraId="2B568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874" w:type="dxa"/>
            <w:tcBorders>
              <w:top w:val="single" w:color="auto" w:sz="4" w:space="0"/>
              <w:left w:val="single" w:color="auto" w:sz="4" w:space="0"/>
              <w:right w:val="single" w:color="auto" w:sz="4" w:space="0"/>
            </w:tcBorders>
            <w:noWrap w:val="0"/>
            <w:vAlign w:val="center"/>
          </w:tcPr>
          <w:p w14:paraId="290C225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w:t>
            </w:r>
          </w:p>
        </w:tc>
        <w:tc>
          <w:tcPr>
            <w:tcW w:w="1365" w:type="dxa"/>
            <w:tcBorders>
              <w:top w:val="single" w:color="auto" w:sz="4" w:space="0"/>
              <w:left w:val="single" w:color="auto" w:sz="4" w:space="0"/>
              <w:right w:val="single" w:color="auto" w:sz="4" w:space="0"/>
            </w:tcBorders>
            <w:noWrap w:val="0"/>
            <w:vAlign w:val="center"/>
          </w:tcPr>
          <w:p w14:paraId="16590B7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科技创新</w:t>
            </w:r>
          </w:p>
        </w:tc>
        <w:tc>
          <w:tcPr>
            <w:tcW w:w="4752" w:type="dxa"/>
            <w:tcBorders>
              <w:top w:val="single" w:color="auto" w:sz="4" w:space="0"/>
              <w:left w:val="single" w:color="auto" w:sz="4" w:space="0"/>
              <w:bottom w:val="single" w:color="auto" w:sz="4" w:space="0"/>
              <w:right w:val="single" w:color="auto" w:sz="4" w:space="0"/>
            </w:tcBorders>
            <w:noWrap w:val="0"/>
            <w:vAlign w:val="center"/>
          </w:tcPr>
          <w:p w14:paraId="511F1C57">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1.创新、节能、新材料、新工艺、新工法、已获得建筑装饰行业科学技术奖等。</w:t>
            </w:r>
          </w:p>
        </w:tc>
        <w:tc>
          <w:tcPr>
            <w:tcW w:w="2409" w:type="dxa"/>
            <w:tcBorders>
              <w:top w:val="single" w:color="auto" w:sz="4" w:space="0"/>
              <w:left w:val="single" w:color="auto" w:sz="4" w:space="0"/>
              <w:bottom w:val="single" w:color="auto" w:sz="4" w:space="0"/>
              <w:right w:val="single" w:color="auto" w:sz="4" w:space="0"/>
            </w:tcBorders>
            <w:noWrap w:val="0"/>
            <w:vAlign w:val="center"/>
          </w:tcPr>
          <w:p w14:paraId="7AB7242A">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rPr>
              <w:t>缺少相应</w:t>
            </w:r>
            <w:r>
              <w:rPr>
                <w:rFonts w:hint="eastAsia" w:ascii="方正仿宋_GB2312" w:hAnsi="方正仿宋_GB2312" w:eastAsia="方正仿宋_GB2312" w:cs="方正仿宋_GB2312"/>
                <w:spacing w:val="0"/>
                <w:szCs w:val="21"/>
              </w:rPr>
              <w:t>内容的扣1-3分。</w:t>
            </w:r>
          </w:p>
        </w:tc>
        <w:tc>
          <w:tcPr>
            <w:tcW w:w="1701" w:type="dxa"/>
            <w:tcBorders>
              <w:top w:val="single" w:color="auto" w:sz="4" w:space="0"/>
              <w:left w:val="single" w:color="auto" w:sz="4" w:space="0"/>
              <w:right w:val="single" w:color="auto" w:sz="4" w:space="0"/>
            </w:tcBorders>
            <w:noWrap w:val="0"/>
            <w:vAlign w:val="center"/>
          </w:tcPr>
          <w:p w14:paraId="43CF1B92">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p>
        </w:tc>
        <w:tc>
          <w:tcPr>
            <w:tcW w:w="851" w:type="dxa"/>
            <w:tcBorders>
              <w:top w:val="single" w:color="auto" w:sz="4" w:space="0"/>
              <w:left w:val="single" w:color="auto" w:sz="4" w:space="0"/>
              <w:right w:val="single" w:color="auto" w:sz="4" w:space="0"/>
            </w:tcBorders>
            <w:noWrap w:val="0"/>
            <w:vAlign w:val="center"/>
          </w:tcPr>
          <w:p w14:paraId="740F3B0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5分</w:t>
            </w:r>
          </w:p>
        </w:tc>
        <w:tc>
          <w:tcPr>
            <w:tcW w:w="2394" w:type="dxa"/>
            <w:tcBorders>
              <w:top w:val="single" w:color="auto" w:sz="4" w:space="0"/>
              <w:left w:val="single" w:color="auto" w:sz="4" w:space="0"/>
              <w:right w:val="single" w:color="auto" w:sz="4" w:space="0"/>
            </w:tcBorders>
            <w:noWrap w:val="0"/>
            <w:vAlign w:val="center"/>
          </w:tcPr>
          <w:p w14:paraId="25AA25C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查：设计图纸、工程实体</w:t>
            </w:r>
          </w:p>
        </w:tc>
      </w:tr>
      <w:tr w14:paraId="36517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7" w:hRule="atLeast"/>
        </w:trPr>
        <w:tc>
          <w:tcPr>
            <w:tcW w:w="874" w:type="dxa"/>
            <w:tcBorders>
              <w:top w:val="single" w:color="auto" w:sz="4" w:space="0"/>
              <w:left w:val="single" w:color="auto" w:sz="4" w:space="0"/>
              <w:right w:val="single" w:color="auto" w:sz="4" w:space="0"/>
            </w:tcBorders>
            <w:noWrap w:val="0"/>
            <w:vAlign w:val="center"/>
          </w:tcPr>
          <w:p w14:paraId="7817A8A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w:t>
            </w:r>
          </w:p>
        </w:tc>
        <w:tc>
          <w:tcPr>
            <w:tcW w:w="1365" w:type="dxa"/>
            <w:tcBorders>
              <w:top w:val="single" w:color="auto" w:sz="4" w:space="0"/>
              <w:left w:val="single" w:color="auto" w:sz="4" w:space="0"/>
              <w:right w:val="single" w:color="auto" w:sz="4" w:space="0"/>
            </w:tcBorders>
            <w:noWrap w:val="0"/>
            <w:vAlign w:val="center"/>
          </w:tcPr>
          <w:p w14:paraId="18B91EC0">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总体印象</w:t>
            </w:r>
          </w:p>
        </w:tc>
        <w:tc>
          <w:tcPr>
            <w:tcW w:w="4752" w:type="dxa"/>
            <w:tcBorders>
              <w:top w:val="single" w:color="auto" w:sz="4" w:space="0"/>
              <w:left w:val="single" w:color="auto" w:sz="4" w:space="0"/>
              <w:bottom w:val="single" w:color="auto" w:sz="4" w:space="0"/>
              <w:right w:val="single" w:color="auto" w:sz="4" w:space="0"/>
            </w:tcBorders>
            <w:noWrap w:val="0"/>
            <w:vAlign w:val="center"/>
          </w:tcPr>
          <w:p w14:paraId="2958F6A9">
            <w:pPr>
              <w:pStyle w:val="46"/>
              <w:keepNext w:val="0"/>
              <w:keepLines w:val="0"/>
              <w:pageBreakBefore w:val="0"/>
              <w:widowControl w:val="0"/>
              <w:numPr>
                <w:ilvl w:val="0"/>
                <w:numId w:val="5"/>
              </w:numPr>
              <w:kinsoku/>
              <w:wordWrap/>
              <w:overflowPunct/>
              <w:topLinePunct w:val="0"/>
              <w:bidi w:val="0"/>
              <w:snapToGrid/>
              <w:spacing w:line="240" w:lineRule="auto"/>
              <w:ind w:left="360" w:hanging="360" w:firstLineChars="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组织工作准备充分，人员到位（主设计师等相关人员应到场）；</w:t>
            </w:r>
          </w:p>
          <w:p w14:paraId="01D5FE18">
            <w:pPr>
              <w:pStyle w:val="46"/>
              <w:keepNext w:val="0"/>
              <w:keepLines w:val="0"/>
              <w:pageBreakBefore w:val="0"/>
              <w:widowControl w:val="0"/>
              <w:numPr>
                <w:ilvl w:val="0"/>
                <w:numId w:val="5"/>
              </w:numPr>
              <w:kinsoku/>
              <w:wordWrap/>
              <w:overflowPunct/>
              <w:topLinePunct w:val="0"/>
              <w:bidi w:val="0"/>
              <w:snapToGrid/>
              <w:spacing w:line="240" w:lineRule="auto"/>
              <w:ind w:left="360" w:hanging="360" w:firstLineChars="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汇报PPT内容重点突出、内容完整、针对性强、简明清晰；</w:t>
            </w:r>
          </w:p>
          <w:p w14:paraId="758B3B41">
            <w:pPr>
              <w:pStyle w:val="46"/>
              <w:keepNext w:val="0"/>
              <w:keepLines w:val="0"/>
              <w:pageBreakBefore w:val="0"/>
              <w:widowControl w:val="0"/>
              <w:numPr>
                <w:ilvl w:val="0"/>
                <w:numId w:val="5"/>
              </w:numPr>
              <w:kinsoku/>
              <w:wordWrap/>
              <w:overflowPunct/>
              <w:topLinePunct w:val="0"/>
              <w:bidi w:val="0"/>
              <w:snapToGrid/>
              <w:spacing w:line="240" w:lineRule="auto"/>
              <w:ind w:left="360" w:hanging="360" w:firstLineChars="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资料、图纸准备充分有序，易于查找；</w:t>
            </w:r>
          </w:p>
          <w:p w14:paraId="7972BE5D">
            <w:pPr>
              <w:pStyle w:val="46"/>
              <w:keepNext w:val="0"/>
              <w:keepLines w:val="0"/>
              <w:pageBreakBefore w:val="0"/>
              <w:widowControl w:val="0"/>
              <w:numPr>
                <w:ilvl w:val="0"/>
                <w:numId w:val="5"/>
              </w:numPr>
              <w:kinsoku/>
              <w:wordWrap/>
              <w:overflowPunct/>
              <w:topLinePunct w:val="0"/>
              <w:bidi w:val="0"/>
              <w:snapToGrid/>
              <w:spacing w:line="240" w:lineRule="auto"/>
              <w:ind w:left="360" w:hanging="360" w:firstLineChars="0"/>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用户意见。</w:t>
            </w:r>
          </w:p>
        </w:tc>
        <w:tc>
          <w:tcPr>
            <w:tcW w:w="2409" w:type="dxa"/>
            <w:tcBorders>
              <w:top w:val="single" w:color="auto" w:sz="4" w:space="0"/>
              <w:left w:val="single" w:color="auto" w:sz="4" w:space="0"/>
              <w:bottom w:val="single" w:color="auto" w:sz="4" w:space="0"/>
              <w:right w:val="single" w:color="auto" w:sz="4" w:space="0"/>
            </w:tcBorders>
            <w:noWrap w:val="0"/>
            <w:vAlign w:val="center"/>
          </w:tcPr>
          <w:p w14:paraId="557EA756">
            <w:pPr>
              <w:pStyle w:val="46"/>
              <w:keepNext w:val="0"/>
              <w:keepLines w:val="0"/>
              <w:pageBreakBefore w:val="0"/>
              <w:widowControl w:val="0"/>
              <w:numPr>
                <w:ilvl w:val="0"/>
                <w:numId w:val="6"/>
              </w:numPr>
              <w:kinsoku/>
              <w:wordWrap/>
              <w:overflowPunct/>
              <w:topLinePunct w:val="0"/>
              <w:bidi w:val="0"/>
              <w:snapToGrid/>
              <w:spacing w:line="240" w:lineRule="auto"/>
              <w:ind w:left="420" w:hanging="42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组织工作、人员到位情况欠佳的扣1-5分；</w:t>
            </w:r>
          </w:p>
          <w:p w14:paraId="05132B28">
            <w:pPr>
              <w:pStyle w:val="46"/>
              <w:keepNext w:val="0"/>
              <w:keepLines w:val="0"/>
              <w:pageBreakBefore w:val="0"/>
              <w:widowControl w:val="0"/>
              <w:numPr>
                <w:ilvl w:val="0"/>
                <w:numId w:val="6"/>
              </w:numPr>
              <w:kinsoku/>
              <w:wordWrap/>
              <w:overflowPunct/>
              <w:topLinePunct w:val="0"/>
              <w:bidi w:val="0"/>
              <w:snapToGrid/>
              <w:spacing w:line="240" w:lineRule="auto"/>
              <w:ind w:left="420" w:hanging="42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汇报内容不到位，扣1-5分；</w:t>
            </w:r>
          </w:p>
          <w:p w14:paraId="6598C200">
            <w:pPr>
              <w:pStyle w:val="46"/>
              <w:keepNext w:val="0"/>
              <w:keepLines w:val="0"/>
              <w:pageBreakBefore w:val="0"/>
              <w:widowControl w:val="0"/>
              <w:numPr>
                <w:ilvl w:val="0"/>
                <w:numId w:val="6"/>
              </w:numPr>
              <w:kinsoku/>
              <w:wordWrap/>
              <w:overflowPunct/>
              <w:topLinePunct w:val="0"/>
              <w:bidi w:val="0"/>
              <w:snapToGrid/>
              <w:spacing w:line="240" w:lineRule="auto"/>
              <w:ind w:left="420" w:hanging="42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其他问题扣1-3分</w:t>
            </w:r>
          </w:p>
        </w:tc>
        <w:tc>
          <w:tcPr>
            <w:tcW w:w="1701" w:type="dxa"/>
            <w:tcBorders>
              <w:top w:val="single" w:color="auto" w:sz="4" w:space="0"/>
              <w:left w:val="single" w:color="auto" w:sz="4" w:space="0"/>
              <w:right w:val="single" w:color="auto" w:sz="4" w:space="0"/>
            </w:tcBorders>
            <w:noWrap w:val="0"/>
            <w:vAlign w:val="center"/>
          </w:tcPr>
          <w:p w14:paraId="4F22F8D7">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p>
        </w:tc>
        <w:tc>
          <w:tcPr>
            <w:tcW w:w="851" w:type="dxa"/>
            <w:tcBorders>
              <w:top w:val="single" w:color="auto" w:sz="4" w:space="0"/>
              <w:left w:val="single" w:color="auto" w:sz="4" w:space="0"/>
              <w:right w:val="single" w:color="auto" w:sz="4" w:space="0"/>
            </w:tcBorders>
            <w:noWrap w:val="0"/>
            <w:vAlign w:val="center"/>
          </w:tcPr>
          <w:p w14:paraId="0443BC0B">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10分</w:t>
            </w:r>
          </w:p>
        </w:tc>
        <w:tc>
          <w:tcPr>
            <w:tcW w:w="2394" w:type="dxa"/>
            <w:tcBorders>
              <w:top w:val="single" w:color="auto" w:sz="4" w:space="0"/>
              <w:left w:val="single" w:color="auto" w:sz="4" w:space="0"/>
              <w:right w:val="single" w:color="auto" w:sz="4" w:space="0"/>
            </w:tcBorders>
            <w:noWrap w:val="0"/>
            <w:vAlign w:val="center"/>
          </w:tcPr>
          <w:p w14:paraId="6900759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w:t>
            </w:r>
          </w:p>
          <w:p w14:paraId="4AFB3E97">
            <w:pPr>
              <w:keepNext w:val="0"/>
              <w:keepLines w:val="0"/>
              <w:pageBreakBefore w:val="0"/>
              <w:widowControl w:val="0"/>
              <w:numPr>
                <w:ilvl w:val="0"/>
                <w:numId w:val="7"/>
              </w:numPr>
              <w:kinsoku/>
              <w:wordWrap/>
              <w:overflowPunct/>
              <w:topLinePunct w:val="0"/>
              <w:bidi w:val="0"/>
              <w:snapToGrid/>
              <w:spacing w:line="240" w:lineRule="auto"/>
              <w:ind w:left="16" w:hanging="16"/>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组织准备情况；</w:t>
            </w:r>
          </w:p>
          <w:p w14:paraId="179A4843">
            <w:pPr>
              <w:keepNext w:val="0"/>
              <w:keepLines w:val="0"/>
              <w:pageBreakBefore w:val="0"/>
              <w:widowControl w:val="0"/>
              <w:numPr>
                <w:ilvl w:val="0"/>
                <w:numId w:val="7"/>
              </w:numPr>
              <w:kinsoku/>
              <w:wordWrap/>
              <w:overflowPunct/>
              <w:topLinePunct w:val="0"/>
              <w:bidi w:val="0"/>
              <w:snapToGrid/>
              <w:spacing w:line="240" w:lineRule="auto"/>
              <w:ind w:left="16" w:hanging="16"/>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PPT（设计范围、理念思路、特点亮点等内容完整生动，汇报时间15分钟内）；</w:t>
            </w:r>
          </w:p>
          <w:p w14:paraId="69431A57">
            <w:pPr>
              <w:keepNext w:val="0"/>
              <w:keepLines w:val="0"/>
              <w:pageBreakBefore w:val="0"/>
              <w:widowControl w:val="0"/>
              <w:numPr>
                <w:ilvl w:val="0"/>
                <w:numId w:val="7"/>
              </w:numPr>
              <w:kinsoku/>
              <w:wordWrap/>
              <w:overflowPunct/>
              <w:topLinePunct w:val="0"/>
              <w:bidi w:val="0"/>
              <w:snapToGrid/>
              <w:spacing w:line="240" w:lineRule="auto"/>
              <w:ind w:left="16" w:hanging="16"/>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用户意见。</w:t>
            </w:r>
          </w:p>
        </w:tc>
      </w:tr>
    </w:tbl>
    <w:p w14:paraId="6A9AF3C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rPr>
        <w:sectPr>
          <w:footerReference r:id="rId11" w:type="default"/>
          <w:pgSz w:w="16838" w:h="11906" w:orient="landscape"/>
          <w:pgMar w:top="1247" w:right="1440" w:bottom="1587" w:left="1440" w:header="851" w:footer="992" w:gutter="0"/>
          <w:pgNumType w:fmt="numberInDash"/>
          <w:cols w:space="720" w:num="1"/>
          <w:docGrid w:type="lines" w:linePitch="312" w:charSpace="0"/>
        </w:sectPr>
      </w:pPr>
    </w:p>
    <w:p w14:paraId="0F48B8AD">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spacing w:val="0"/>
          <w:sz w:val="32"/>
          <w:szCs w:val="32"/>
        </w:rPr>
      </w:pPr>
      <w:r>
        <w:rPr>
          <w:rFonts w:hint="eastAsia" w:ascii="黑体" w:hAnsi="黑体" w:eastAsia="黑体" w:cs="黑体"/>
          <w:spacing w:val="0"/>
          <w:sz w:val="32"/>
          <w:szCs w:val="32"/>
        </w:rPr>
        <w:t>附件3</w:t>
      </w:r>
    </w:p>
    <w:p w14:paraId="76E9CA28">
      <w:pPr>
        <w:keepNext w:val="0"/>
        <w:keepLines w:val="0"/>
        <w:pageBreakBefore w:val="0"/>
        <w:widowControl w:val="0"/>
        <w:kinsoku/>
        <w:wordWrap/>
        <w:overflowPunct/>
        <w:topLinePunct w:val="0"/>
        <w:autoSpaceDE w:val="0"/>
        <w:autoSpaceDN w:val="0"/>
        <w:bidi w:val="0"/>
        <w:adjustRightInd/>
        <w:snapToGrid/>
        <w:spacing w:beforeAutospacing="0" w:afterAutospacing="0" w:line="288" w:lineRule="auto"/>
        <w:ind w:left="0" w:right="0" w:firstLine="0"/>
        <w:jc w:val="center"/>
        <w:textAlignment w:val="auto"/>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pPr>
      <w:r>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t>中国建筑装饰协会中国建筑工程装饰奖</w:t>
      </w:r>
    </w:p>
    <w:p w14:paraId="47C6B853">
      <w:pPr>
        <w:keepNext w:val="0"/>
        <w:keepLines w:val="0"/>
        <w:pageBreakBefore w:val="0"/>
        <w:widowControl w:val="0"/>
        <w:kinsoku/>
        <w:wordWrap/>
        <w:overflowPunct/>
        <w:topLinePunct w:val="0"/>
        <w:autoSpaceDE w:val="0"/>
        <w:autoSpaceDN w:val="0"/>
        <w:bidi w:val="0"/>
        <w:adjustRightInd/>
        <w:snapToGrid/>
        <w:spacing w:beforeAutospacing="0" w:afterAutospacing="0" w:line="288" w:lineRule="auto"/>
        <w:ind w:left="0" w:right="0" w:firstLine="0"/>
        <w:jc w:val="center"/>
        <w:textAlignment w:val="auto"/>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pPr>
      <w:r>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t>复查实施细则</w:t>
      </w:r>
    </w:p>
    <w:p w14:paraId="7E46FE9A">
      <w:pPr>
        <w:keepNext w:val="0"/>
        <w:keepLines w:val="0"/>
        <w:pageBreakBefore w:val="0"/>
        <w:widowControl w:val="0"/>
        <w:kinsoku/>
        <w:wordWrap/>
        <w:overflowPunct/>
        <w:topLinePunct w:val="0"/>
        <w:bidi w:val="0"/>
        <w:snapToGrid/>
        <w:spacing w:line="240" w:lineRule="auto"/>
        <w:jc w:val="center"/>
        <w:textAlignment w:val="auto"/>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建筑幕墙类</w:t>
      </w:r>
    </w:p>
    <w:p w14:paraId="43A4788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b/>
          <w:bCs/>
          <w:spacing w:val="0"/>
          <w:sz w:val="32"/>
          <w:szCs w:val="32"/>
        </w:rPr>
      </w:pPr>
    </w:p>
    <w:p w14:paraId="5AE26BE6">
      <w:pPr>
        <w:keepNext w:val="0"/>
        <w:keepLines w:val="0"/>
        <w:pageBreakBefore w:val="0"/>
        <w:widowControl w:val="0"/>
        <w:kinsoku/>
        <w:wordWrap/>
        <w:overflowPunct/>
        <w:topLinePunct w:val="0"/>
        <w:bidi w:val="0"/>
        <w:adjustRightInd w:val="0"/>
        <w:snapToGrid/>
        <w:spacing w:line="240" w:lineRule="auto"/>
        <w:ind w:firstLine="640" w:firstLineChars="200"/>
        <w:textAlignment w:val="auto"/>
        <w:outlineLvl w:val="1"/>
        <w:rPr>
          <w:rFonts w:hint="eastAsia" w:ascii="黑体" w:hAnsi="黑体" w:eastAsia="黑体" w:cs="黑体"/>
          <w:bCs/>
          <w:spacing w:val="0"/>
          <w:sz w:val="32"/>
          <w:szCs w:val="32"/>
        </w:rPr>
      </w:pPr>
      <w:bookmarkStart w:id="28" w:name="_Toc857"/>
      <w:bookmarkStart w:id="29" w:name="_Toc23862"/>
      <w:r>
        <w:rPr>
          <w:rFonts w:hint="eastAsia" w:ascii="黑体" w:hAnsi="黑体" w:eastAsia="黑体" w:cs="黑体"/>
          <w:bCs/>
          <w:spacing w:val="0"/>
          <w:sz w:val="32"/>
          <w:szCs w:val="32"/>
        </w:rPr>
        <w:t>一、评分标准及要求</w:t>
      </w:r>
      <w:bookmarkEnd w:id="28"/>
      <w:bookmarkEnd w:id="29"/>
    </w:p>
    <w:p w14:paraId="6F9A15A0">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鉴于复查项目的工程性质、类别、规模、使用的材料、采用的工艺等各方面差别较大，故复查工程的评分采用扣分法，本细则重点列出了在资料（必要文件、计算书、质量管理资料、图纸）、工程实体、科技创新、总体印象等几个方面的常见问题、质量通病和涉及安全与使用的问题，结合复查中查出的问题进行评分。项目复查总分为100分。</w:t>
      </w:r>
    </w:p>
    <w:p w14:paraId="74C62839">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工程复查评分标准——建筑幕墙类》中所列均为工程复查的必查和主查内容，各复查小组可根据项目实际情况做必要的补充和调整，但必查内容不可取消。复查评分严格按照各项要求及分值进行复查评分，并将各大项评分记录在申报表工程复查表中。</w:t>
      </w:r>
    </w:p>
    <w:p w14:paraId="0FA97BCC">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申报装饰奖的单位需重视对工程安全隐患的排查及相关必要文件的准备，要求企业申报前对涉及安全、结构、热工、防火、隐蔽资料等方面的情况进行自查，使其符合相应的国家强制性规范和标准以及装饰奖复查的要求。</w:t>
      </w:r>
    </w:p>
    <w:p w14:paraId="334393B7">
      <w:pPr>
        <w:keepNext w:val="0"/>
        <w:keepLines w:val="0"/>
        <w:pageBreakBefore w:val="0"/>
        <w:widowControl w:val="0"/>
        <w:kinsoku/>
        <w:wordWrap/>
        <w:overflowPunct/>
        <w:topLinePunct w:val="0"/>
        <w:bidi w:val="0"/>
        <w:adjustRightInd w:val="0"/>
        <w:snapToGrid/>
        <w:spacing w:line="240" w:lineRule="auto"/>
        <w:ind w:firstLine="640" w:firstLineChars="200"/>
        <w:textAlignment w:val="auto"/>
        <w:outlineLvl w:val="1"/>
        <w:rPr>
          <w:rFonts w:hint="eastAsia" w:ascii="黑体" w:hAnsi="黑体" w:eastAsia="黑体" w:cs="黑体"/>
          <w:bCs/>
          <w:spacing w:val="0"/>
          <w:sz w:val="32"/>
          <w:szCs w:val="32"/>
        </w:rPr>
      </w:pPr>
      <w:bookmarkStart w:id="30" w:name="_Toc23868"/>
      <w:bookmarkStart w:id="31" w:name="_Toc41"/>
      <w:r>
        <w:rPr>
          <w:rFonts w:hint="eastAsia" w:ascii="黑体" w:hAnsi="黑体" w:eastAsia="黑体" w:cs="黑体"/>
          <w:bCs/>
          <w:spacing w:val="0"/>
          <w:sz w:val="32"/>
          <w:szCs w:val="32"/>
        </w:rPr>
        <w:t>二、需要说明与注意的问题</w:t>
      </w:r>
      <w:bookmarkEnd w:id="30"/>
      <w:bookmarkEnd w:id="31"/>
    </w:p>
    <w:p w14:paraId="377BA156">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（一）当原设计单位出具的热工计算书、结构计算书对照复查要求有遗漏、不充分时，具有幕墙设计资质的申报单位可以自行补充完善，补充文件上计算及校审人员应签字手续齐全、加盖设计图章。</w:t>
      </w:r>
    </w:p>
    <w:p w14:paraId="4333188D">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二）竣工图是工程竣工后，真实反映工程施工结果的图样。工程无变更或变更不大的，可以在原有施工图上加盖竣工图章、将变更内容直接改绘在原施工图上，形成竣工图。工程变更较大的，可另外绘制修改图并注明修改部位、修改依据等，加盖原设计单位图章和竣工图章，形成竣工图。竣工图纸应是蓝图，也可以是激光打印白图，不得使用复印的白图。</w:t>
      </w:r>
    </w:p>
    <w:p w14:paraId="209E4CD4">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三）住房和城乡建设部与国家安监总局联合发文的建标〔2015〕38号文件要求：在新建住宅、党政机关办公楼、医院门诊急诊楼和病房楼、中小学校、托儿所、幼儿园、老年人建筑，这七类建筑的二层及以上不得采用玻璃幕墙。在人员密集、流动性大的商业中心，交通枢纽，公共文化体育设施等场所，临近道路、广场及下部为出入口、人员通道的建筑，严禁采用全隐框玻璃幕墙。</w:t>
      </w:r>
    </w:p>
    <w:p w14:paraId="479EF303">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（四）质量管理资料中，幕墙的主要材料指：龙骨、面材、连接件、埋件、紧固件、后置锚栓、背栓、结构胶、耐候密封胶、防火密封胶、石材干挂胶、防火保温材料、密封胶条、五金件等。</w:t>
      </w:r>
    </w:p>
    <w:p w14:paraId="48F0CA8E">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（五）结构胶打胶工序外协加工的，结构胶的相容性、粘结性试验报告，结构胶打胶记录、蝴蝶试验记录、养护记录等相关记录与试验报告可提供加盖外协厂家公章的影印件。</w:t>
      </w:r>
    </w:p>
    <w:p w14:paraId="686D274F">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（六）新技术包括但不限于预应力技术、3D打印技术、预制混凝土外墙挂板技术、索结构应用技术、装配式幕墙等。新工艺包括拥有省级及以上工法或发表专业技术论文等。</w:t>
      </w:r>
    </w:p>
    <w:p w14:paraId="42A79C9D">
      <w:pPr>
        <w:keepNext w:val="0"/>
        <w:keepLines w:val="0"/>
        <w:pageBreakBefore w:val="0"/>
        <w:widowControl w:val="0"/>
        <w:kinsoku/>
        <w:wordWrap/>
        <w:overflowPunct/>
        <w:topLinePunct w:val="0"/>
        <w:bidi w:val="0"/>
        <w:adjustRightInd w:val="0"/>
        <w:snapToGrid/>
        <w:spacing w:line="240" w:lineRule="auto"/>
        <w:ind w:firstLine="640" w:firstLineChars="200"/>
        <w:textAlignment w:val="auto"/>
        <w:outlineLvl w:val="1"/>
        <w:rPr>
          <w:rFonts w:hint="eastAsia" w:ascii="黑体" w:hAnsi="黑体" w:eastAsia="黑体" w:cs="黑体"/>
          <w:bCs/>
          <w:spacing w:val="0"/>
          <w:sz w:val="32"/>
          <w:szCs w:val="32"/>
        </w:rPr>
      </w:pPr>
      <w:bookmarkStart w:id="32" w:name="_Toc10426"/>
      <w:r>
        <w:rPr>
          <w:rFonts w:hint="eastAsia" w:ascii="黑体" w:hAnsi="黑体" w:eastAsia="黑体" w:cs="黑体"/>
          <w:bCs/>
          <w:spacing w:val="0"/>
          <w:sz w:val="32"/>
          <w:szCs w:val="32"/>
        </w:rPr>
        <w:t>三、执行的法规、规范和标准</w:t>
      </w:r>
      <w:bookmarkEnd w:id="32"/>
    </w:p>
    <w:p w14:paraId="15745767">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以法律法规、现行国家和行业规范标准以及CBDA标准为准。</w:t>
      </w:r>
    </w:p>
    <w:p w14:paraId="281967D2">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sectPr>
          <w:pgSz w:w="11906" w:h="16838"/>
          <w:pgMar w:top="1440" w:right="1247" w:bottom="1440" w:left="1587" w:header="851" w:footer="992" w:gutter="0"/>
          <w:pgNumType w:fmt="numberInDash"/>
          <w:cols w:space="720" w:num="1"/>
          <w:docGrid w:type="lines" w:linePitch="312" w:charSpace="0"/>
        </w:sectPr>
      </w:pPr>
    </w:p>
    <w:p w14:paraId="00273B98">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32"/>
          <w:szCs w:val="32"/>
        </w:rPr>
      </w:pPr>
      <w:r>
        <w:rPr>
          <w:rFonts w:hint="eastAsia" w:ascii="黑体" w:hAnsi="黑体" w:eastAsia="黑体" w:cs="黑体"/>
          <w:b w:val="0"/>
          <w:bCs w:val="0"/>
          <w:spacing w:val="0"/>
          <w:sz w:val="32"/>
          <w:szCs w:val="32"/>
        </w:rPr>
        <w:t>四、工程复查评分标准——建筑幕墙类</w:t>
      </w:r>
    </w:p>
    <w:tbl>
      <w:tblPr>
        <w:tblStyle w:val="25"/>
        <w:tblW w:w="14399" w:type="dxa"/>
        <w:tblInd w:w="-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1372"/>
        <w:gridCol w:w="4829"/>
        <w:gridCol w:w="2940"/>
        <w:gridCol w:w="945"/>
        <w:gridCol w:w="810"/>
        <w:gridCol w:w="2640"/>
      </w:tblGrid>
      <w:tr w14:paraId="4EFCF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863" w:type="dxa"/>
            <w:tcBorders>
              <w:top w:val="single" w:color="auto" w:sz="4" w:space="0"/>
              <w:left w:val="single" w:color="auto" w:sz="4" w:space="0"/>
              <w:bottom w:val="single" w:color="auto" w:sz="4" w:space="0"/>
              <w:right w:val="single" w:color="auto" w:sz="4" w:space="0"/>
            </w:tcBorders>
            <w:noWrap w:val="0"/>
            <w:vAlign w:val="center"/>
          </w:tcPr>
          <w:p w14:paraId="1FA9D547">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序号</w:t>
            </w:r>
          </w:p>
        </w:tc>
        <w:tc>
          <w:tcPr>
            <w:tcW w:w="1372" w:type="dxa"/>
            <w:tcBorders>
              <w:top w:val="single" w:color="auto" w:sz="4" w:space="0"/>
              <w:left w:val="single" w:color="auto" w:sz="4" w:space="0"/>
              <w:bottom w:val="single" w:color="auto" w:sz="4" w:space="0"/>
              <w:right w:val="single" w:color="auto" w:sz="4" w:space="0"/>
            </w:tcBorders>
            <w:noWrap w:val="0"/>
            <w:vAlign w:val="center"/>
          </w:tcPr>
          <w:p w14:paraId="0302DFE6">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复查项目</w:t>
            </w:r>
          </w:p>
        </w:tc>
        <w:tc>
          <w:tcPr>
            <w:tcW w:w="4829" w:type="dxa"/>
            <w:tcBorders>
              <w:top w:val="single" w:color="auto" w:sz="4" w:space="0"/>
              <w:left w:val="single" w:color="auto" w:sz="4" w:space="0"/>
              <w:bottom w:val="single" w:color="auto" w:sz="4" w:space="0"/>
              <w:right w:val="single" w:color="auto" w:sz="4" w:space="0"/>
            </w:tcBorders>
            <w:noWrap w:val="0"/>
            <w:vAlign w:val="center"/>
          </w:tcPr>
          <w:p w14:paraId="7C07A720">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复查内容</w:t>
            </w:r>
          </w:p>
        </w:tc>
        <w:tc>
          <w:tcPr>
            <w:tcW w:w="2940" w:type="dxa"/>
            <w:tcBorders>
              <w:top w:val="single" w:color="auto" w:sz="4" w:space="0"/>
              <w:left w:val="single" w:color="auto" w:sz="4" w:space="0"/>
              <w:bottom w:val="single" w:color="auto" w:sz="4" w:space="0"/>
              <w:right w:val="single" w:color="auto" w:sz="4" w:space="0"/>
            </w:tcBorders>
            <w:noWrap w:val="0"/>
            <w:vAlign w:val="center"/>
          </w:tcPr>
          <w:p w14:paraId="4AF09139">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评分标准</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7A72DC2C">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lang w:val="en-US" w:eastAsia="zh-CN"/>
              </w:rPr>
            </w:pPr>
            <w:r>
              <w:rPr>
                <w:rFonts w:hint="eastAsia" w:ascii="黑体" w:hAnsi="黑体" w:eastAsia="黑体" w:cs="黑体"/>
                <w:b w:val="0"/>
                <w:bCs w:val="0"/>
                <w:spacing w:val="0"/>
                <w:sz w:val="28"/>
                <w:szCs w:val="28"/>
                <w:lang w:val="en-US" w:eastAsia="zh-CN"/>
              </w:rPr>
              <w:t>备注</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5B5B482A">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分值</w:t>
            </w:r>
          </w:p>
        </w:tc>
        <w:tc>
          <w:tcPr>
            <w:tcW w:w="2640" w:type="dxa"/>
            <w:tcBorders>
              <w:top w:val="single" w:color="auto" w:sz="4" w:space="0"/>
              <w:left w:val="single" w:color="auto" w:sz="4" w:space="0"/>
              <w:bottom w:val="single" w:color="auto" w:sz="4" w:space="0"/>
              <w:right w:val="single" w:color="auto" w:sz="4" w:space="0"/>
            </w:tcBorders>
            <w:noWrap w:val="0"/>
            <w:vAlign w:val="center"/>
          </w:tcPr>
          <w:p w14:paraId="2AB453F6">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复查方法</w:t>
            </w:r>
          </w:p>
        </w:tc>
      </w:tr>
      <w:tr w14:paraId="0B686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0" w:hRule="atLeast"/>
        </w:trPr>
        <w:tc>
          <w:tcPr>
            <w:tcW w:w="863" w:type="dxa"/>
            <w:vMerge w:val="restart"/>
            <w:tcBorders>
              <w:top w:val="single" w:color="auto" w:sz="4" w:space="0"/>
              <w:left w:val="single" w:color="auto" w:sz="4" w:space="0"/>
              <w:right w:val="single" w:color="auto" w:sz="4" w:space="0"/>
            </w:tcBorders>
            <w:noWrap w:val="0"/>
            <w:vAlign w:val="center"/>
          </w:tcPr>
          <w:p w14:paraId="3C028E4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w:t>
            </w:r>
          </w:p>
        </w:tc>
        <w:tc>
          <w:tcPr>
            <w:tcW w:w="1372" w:type="dxa"/>
            <w:vMerge w:val="restart"/>
            <w:tcBorders>
              <w:top w:val="single" w:color="auto" w:sz="4" w:space="0"/>
              <w:left w:val="single" w:color="auto" w:sz="4" w:space="0"/>
              <w:right w:val="single" w:color="auto" w:sz="4" w:space="0"/>
            </w:tcBorders>
            <w:noWrap w:val="0"/>
            <w:vAlign w:val="center"/>
          </w:tcPr>
          <w:p w14:paraId="7268583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资料</w:t>
            </w:r>
          </w:p>
        </w:tc>
        <w:tc>
          <w:tcPr>
            <w:tcW w:w="4829" w:type="dxa"/>
            <w:tcBorders>
              <w:top w:val="single" w:color="auto" w:sz="4" w:space="0"/>
              <w:left w:val="single" w:color="auto" w:sz="4" w:space="0"/>
              <w:bottom w:val="single" w:color="auto" w:sz="4" w:space="0"/>
              <w:right w:val="single" w:color="auto" w:sz="4" w:space="0"/>
            </w:tcBorders>
            <w:noWrap w:val="0"/>
            <w:vAlign w:val="center"/>
          </w:tcPr>
          <w:p w14:paraId="43DF545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必要文件：</w:t>
            </w:r>
          </w:p>
          <w:p w14:paraId="0B42EB91">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1.企业营业执照、资质等级证书、安全生产许可证（此三项上一年度参评的单位可提供在有效期内的加盖本单位公章的复印件）；</w:t>
            </w:r>
          </w:p>
          <w:p w14:paraId="4632BE16">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2.项目经理注册建造师证书、安全生产考核合格证书；</w:t>
            </w:r>
          </w:p>
          <w:p w14:paraId="2D774346">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3.幕墙工程施工合同（含施工范围、面积、金额）；</w:t>
            </w:r>
          </w:p>
          <w:p w14:paraId="1EE085B2">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4.施工许可证（施工许可证不单独发给幕墙工程的，可以用总包单位的施工许可证）；</w:t>
            </w:r>
          </w:p>
          <w:p w14:paraId="33B65CC6">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5.幕墙单项竣工验收资料（签章必须齐全）;</w:t>
            </w:r>
          </w:p>
          <w:p w14:paraId="75BBB453">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6.消防验收（工程名称、验收范围、主管部门公章、日期必须齐全；结论为合格；消防验收意见书中提出的整改意见如涉及幕墙部分应有有关部门的复查合格记录）；</w:t>
            </w:r>
          </w:p>
          <w:p w14:paraId="41E37342">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7.工程验收合格备案证书。</w:t>
            </w:r>
          </w:p>
        </w:tc>
        <w:tc>
          <w:tcPr>
            <w:tcW w:w="2940" w:type="dxa"/>
            <w:vMerge w:val="restart"/>
            <w:tcBorders>
              <w:top w:val="single" w:color="auto" w:sz="4" w:space="0"/>
              <w:left w:val="single" w:color="auto" w:sz="4" w:space="0"/>
              <w:right w:val="single" w:color="auto" w:sz="4" w:space="0"/>
            </w:tcBorders>
            <w:noWrap w:val="0"/>
            <w:vAlign w:val="center"/>
          </w:tcPr>
          <w:p w14:paraId="57116C69">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p>
          <w:p w14:paraId="6A807FDE">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1.必要文件有一项不合格或不符合要求者不予评审。</w:t>
            </w:r>
          </w:p>
          <w:p w14:paraId="247CD256">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2.主要材料质量严重不符合标准、规范和设计要求（每项扣3-5分）；</w:t>
            </w:r>
          </w:p>
          <w:p w14:paraId="4469737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3.提供的主材质量证明资料与工程所用材料不符（每项扣1-2分）；</w:t>
            </w:r>
          </w:p>
          <w:p w14:paraId="495CDE67">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4.使用不合格胶或过期胶（每项扣2-3分）；</w:t>
            </w:r>
          </w:p>
          <w:p w14:paraId="2406CE9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5.施工现场打结构胶（全玻璃幕墙除外）（每项扣0.5-1分）；</w:t>
            </w:r>
          </w:p>
          <w:p w14:paraId="5B131558">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6.无物理性能检测报告（每项扣0.5-1分）；</w:t>
            </w:r>
          </w:p>
          <w:p w14:paraId="15024DA9">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7.后置埋件、石材背栓未进行现场拉拨力检测（每项扣0.5-1分）；</w:t>
            </w:r>
          </w:p>
          <w:p w14:paraId="724E56BC">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8.石材未做抗弯强度检验（每项扣0.2-0.5分）；</w:t>
            </w:r>
          </w:p>
          <w:p w14:paraId="4F80BA30">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9.无硅酮结构胶的相容性、粘结性试验报告（每项扣0.5-1分）；</w:t>
            </w:r>
          </w:p>
          <w:p w14:paraId="4096A951">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10.其它不符合要求或不合规情况（每项扣0.5-1分）</w:t>
            </w:r>
          </w:p>
        </w:tc>
        <w:tc>
          <w:tcPr>
            <w:tcW w:w="945" w:type="dxa"/>
            <w:tcBorders>
              <w:top w:val="single" w:color="auto" w:sz="4" w:space="0"/>
              <w:left w:val="single" w:color="auto" w:sz="4" w:space="0"/>
              <w:right w:val="single" w:color="auto" w:sz="4" w:space="0"/>
            </w:tcBorders>
            <w:noWrap w:val="0"/>
            <w:vAlign w:val="center"/>
          </w:tcPr>
          <w:p w14:paraId="163B140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10" w:type="dxa"/>
            <w:vMerge w:val="restart"/>
            <w:tcBorders>
              <w:top w:val="single" w:color="auto" w:sz="4" w:space="0"/>
              <w:left w:val="single" w:color="auto" w:sz="4" w:space="0"/>
              <w:right w:val="single" w:color="auto" w:sz="4" w:space="0"/>
            </w:tcBorders>
            <w:noWrap w:val="0"/>
            <w:vAlign w:val="center"/>
          </w:tcPr>
          <w:p w14:paraId="6130CBE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20分</w:t>
            </w:r>
          </w:p>
        </w:tc>
        <w:tc>
          <w:tcPr>
            <w:tcW w:w="2640" w:type="dxa"/>
            <w:tcBorders>
              <w:top w:val="single" w:color="auto" w:sz="4" w:space="0"/>
              <w:left w:val="single" w:color="auto" w:sz="4" w:space="0"/>
              <w:right w:val="single" w:color="auto" w:sz="4" w:space="0"/>
            </w:tcBorders>
            <w:noWrap w:val="0"/>
            <w:vAlign w:val="center"/>
          </w:tcPr>
          <w:p w14:paraId="35DA4EC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查：相关文件资料原件或电子证件（提供网查链接）；</w:t>
            </w:r>
          </w:p>
          <w:p w14:paraId="595C38A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原件已存入城建档案馆或城建档案管理机构的可提供由档案馆或城建档案管理机构出具的加盖出具单位和申报单位鲜章并注明“原件存于XXX，复印件与原件相同”字样的复印件。</w:t>
            </w:r>
          </w:p>
        </w:tc>
      </w:tr>
      <w:tr w14:paraId="4CF00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63" w:type="dxa"/>
            <w:vMerge w:val="continue"/>
            <w:tcBorders>
              <w:left w:val="single" w:color="auto" w:sz="4" w:space="0"/>
              <w:right w:val="single" w:color="auto" w:sz="4" w:space="0"/>
            </w:tcBorders>
            <w:noWrap w:val="0"/>
            <w:vAlign w:val="center"/>
          </w:tcPr>
          <w:p w14:paraId="52C8D308">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372" w:type="dxa"/>
            <w:vMerge w:val="continue"/>
            <w:tcBorders>
              <w:left w:val="single" w:color="auto" w:sz="4" w:space="0"/>
              <w:right w:val="single" w:color="auto" w:sz="4" w:space="0"/>
            </w:tcBorders>
            <w:noWrap w:val="0"/>
            <w:vAlign w:val="center"/>
          </w:tcPr>
          <w:p w14:paraId="7258441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4829" w:type="dxa"/>
            <w:tcBorders>
              <w:top w:val="single" w:color="auto" w:sz="4" w:space="0"/>
              <w:left w:val="single" w:color="auto" w:sz="4" w:space="0"/>
              <w:bottom w:val="single" w:color="auto" w:sz="4" w:space="0"/>
              <w:right w:val="single" w:color="auto" w:sz="4" w:space="0"/>
            </w:tcBorders>
            <w:noWrap w:val="0"/>
            <w:vAlign w:val="center"/>
          </w:tcPr>
          <w:p w14:paraId="0319957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质量管理资料：</w:t>
            </w:r>
          </w:p>
          <w:p w14:paraId="634F3EE2">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1.应提供施工组织设计、施工日志、技术交底等及危险性较大分部分项工程论证报告。</w:t>
            </w:r>
          </w:p>
          <w:p w14:paraId="0C0BE8AE">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2.幕墙使用的主要材料应符合标准、规范要求，符合设计要求。应有出厂合格证、检测报告；</w:t>
            </w:r>
          </w:p>
          <w:p w14:paraId="1E62F752">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3.石材幕墙不得使用云石胶，可使用石材干挂胶。不得使用普通的耐候密封胶，应使用石材幕墙专用耐候胶，并提供抗污染检测报告；</w:t>
            </w:r>
          </w:p>
          <w:p w14:paraId="3A85F602">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4.主要材料使用前应进行复验，提供检测报告；</w:t>
            </w:r>
          </w:p>
          <w:p w14:paraId="426158E9">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5.幕墙的物理性能检测报告，沿海及台风多发地区要特别关注检测报告的幕墙抗风压性能指标与结构计算书、设计说明是否一致；</w:t>
            </w:r>
          </w:p>
          <w:p w14:paraId="68AF7DFB">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6.提供：连接件、预埋件的焊缝质量检测报告，后置埋件现场拉拨力检测报告，石材背栓拉拨力检测报告，石材的抗弯强度检验报告，索杆体系预拉力张拉记录；</w:t>
            </w:r>
          </w:p>
          <w:p w14:paraId="0E33808A">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7.有隐框、半隐框玻璃板块或隐框做法开启扇的，必须提供硅酮结构胶、耐候密封胶的相容性、粘结性试验报告，结构胶打胶记录、蝴蝶试验记录、养护记录；</w:t>
            </w:r>
          </w:p>
          <w:p w14:paraId="0348DC1C">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8.淋水试验记录，防雷检测报告；</w:t>
            </w:r>
          </w:p>
          <w:p w14:paraId="090C409D">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9.每批单元板块组装件的出厂合格证、检验记录。每批隐框、半隐框玻璃板块的合格证、检验记录；</w:t>
            </w:r>
          </w:p>
          <w:p w14:paraId="465DCFE4">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幕墙各连接部位应牢固、可靠，隐蔽工程符合图纸要求，隐蔽工程记录真实、齐全并提供影像资料，并经监理签字认可（隐蔽工程包括：预埋件或后置埋件，锚栓及连接件，构件的连接节点，幕墙四周、幕墙内表面与主体结构间封堵，伸缩缝、沉降缝、抗震缝及墙面转角节点，玻璃板块的固定，幕墙防雷连接节点，幕墙防火、隔烟节点，单元式幕墙的封口节点等）；</w:t>
            </w:r>
          </w:p>
          <w:p w14:paraId="51607782">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11.采用新材料的须提供耐候性、耐久性、可靠性依据。含水材料使用在严寒地区的应提供冻融复试报告。复合材料应关注温度应力产生变形导致的安全问题；</w:t>
            </w:r>
          </w:p>
          <w:p w14:paraId="519CCA72">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12.合格证、检验记录、检测报告应提供原件且真实有效。检测结果应符合设计要求及相关标准规范要求；</w:t>
            </w:r>
          </w:p>
          <w:p w14:paraId="04D9FA22">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13.进口材料应符合我国相关产品标准。</w:t>
            </w:r>
          </w:p>
          <w:p w14:paraId="30486F55">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14.在居住建筑、医院、中小学校、幼儿园周边区域以及主干道路口、交通流量大的区域设置玻璃幕墙时，应提供玻璃幕墙反射光影响分析报告。</w:t>
            </w:r>
          </w:p>
        </w:tc>
        <w:tc>
          <w:tcPr>
            <w:tcW w:w="2940" w:type="dxa"/>
            <w:vMerge w:val="continue"/>
            <w:tcBorders>
              <w:left w:val="single" w:color="auto" w:sz="4" w:space="0"/>
              <w:bottom w:val="single" w:color="auto" w:sz="4" w:space="0"/>
              <w:right w:val="single" w:color="auto" w:sz="4" w:space="0"/>
            </w:tcBorders>
            <w:noWrap w:val="0"/>
            <w:vAlign w:val="center"/>
          </w:tcPr>
          <w:p w14:paraId="6220F9D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tc>
        <w:tc>
          <w:tcPr>
            <w:tcW w:w="945" w:type="dxa"/>
            <w:tcBorders>
              <w:left w:val="single" w:color="auto" w:sz="4" w:space="0"/>
              <w:right w:val="single" w:color="auto" w:sz="4" w:space="0"/>
            </w:tcBorders>
            <w:noWrap w:val="0"/>
            <w:vAlign w:val="center"/>
          </w:tcPr>
          <w:p w14:paraId="01453F40">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10" w:type="dxa"/>
            <w:vMerge w:val="continue"/>
            <w:tcBorders>
              <w:left w:val="single" w:color="auto" w:sz="4" w:space="0"/>
              <w:right w:val="single" w:color="auto" w:sz="4" w:space="0"/>
            </w:tcBorders>
            <w:noWrap w:val="0"/>
            <w:vAlign w:val="center"/>
          </w:tcPr>
          <w:p w14:paraId="752E805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640" w:type="dxa"/>
            <w:tcBorders>
              <w:top w:val="single" w:color="auto" w:sz="4" w:space="0"/>
              <w:left w:val="single" w:color="auto" w:sz="4" w:space="0"/>
              <w:bottom w:val="single" w:color="auto" w:sz="4" w:space="0"/>
              <w:right w:val="single" w:color="auto" w:sz="4" w:space="0"/>
            </w:tcBorders>
            <w:noWrap w:val="0"/>
            <w:vAlign w:val="center"/>
          </w:tcPr>
          <w:p w14:paraId="7157367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结合工程实体查质量管理资料</w:t>
            </w:r>
          </w:p>
        </w:tc>
      </w:tr>
      <w:tr w14:paraId="18D9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5" w:hRule="atLeast"/>
        </w:trPr>
        <w:tc>
          <w:tcPr>
            <w:tcW w:w="863" w:type="dxa"/>
            <w:tcBorders>
              <w:left w:val="single" w:color="auto" w:sz="4" w:space="0"/>
              <w:bottom w:val="single" w:color="auto" w:sz="4" w:space="0"/>
              <w:right w:val="single" w:color="auto" w:sz="4" w:space="0"/>
            </w:tcBorders>
            <w:noWrap w:val="0"/>
            <w:vAlign w:val="center"/>
          </w:tcPr>
          <w:p w14:paraId="2A8E2738">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w:t>
            </w:r>
          </w:p>
        </w:tc>
        <w:tc>
          <w:tcPr>
            <w:tcW w:w="1372" w:type="dxa"/>
            <w:tcBorders>
              <w:left w:val="single" w:color="auto" w:sz="4" w:space="0"/>
              <w:right w:val="single" w:color="auto" w:sz="4" w:space="0"/>
            </w:tcBorders>
            <w:noWrap w:val="0"/>
            <w:vAlign w:val="center"/>
          </w:tcPr>
          <w:p w14:paraId="24A8982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热工计算书</w:t>
            </w:r>
          </w:p>
        </w:tc>
        <w:tc>
          <w:tcPr>
            <w:tcW w:w="4829" w:type="dxa"/>
            <w:tcBorders>
              <w:top w:val="single" w:color="auto" w:sz="4" w:space="0"/>
              <w:left w:val="single" w:color="auto" w:sz="4" w:space="0"/>
              <w:bottom w:val="single" w:color="auto" w:sz="4" w:space="0"/>
              <w:right w:val="single" w:color="auto" w:sz="4" w:space="0"/>
            </w:tcBorders>
            <w:noWrap w:val="0"/>
            <w:vAlign w:val="center"/>
          </w:tcPr>
          <w:p w14:paraId="37D5E983">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1.工程所有的幕墙类型（包括采光顶）都应有热工计算；无保温隔热要求的装饰幕墙、开缝构造的幕墙不用热工计算；</w:t>
            </w:r>
          </w:p>
          <w:p w14:paraId="39890C45">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2.各类型幕墙的热工计算应齐全完整不缺项，并有明确结论且满足建筑节能设计指标要求；</w:t>
            </w:r>
          </w:p>
          <w:p w14:paraId="5F6FE33F">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3.正确选择热工计算单元、正确选择计算参数，如气候分区、朝向、窗墙面积比等；</w:t>
            </w:r>
          </w:p>
          <w:p w14:paraId="444924A4">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4.热工计算应符合现行国家和行业标准；</w:t>
            </w:r>
          </w:p>
          <w:p w14:paraId="11056831">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5.寒冷和严寒地区应进行结露性能评价计算；</w:t>
            </w:r>
          </w:p>
          <w:p w14:paraId="2B7671E1">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6.应提供建筑设计院出具的建筑节能计算书或建筑施工图设计说明中的节能专篇，来明确各类型幕墙应当达到的热工性能具体数值。但是不能用建筑设计院出具的建筑节能计算书代替幕墙热工计算书；</w:t>
            </w:r>
          </w:p>
          <w:p w14:paraId="72964ACC">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7.热工计算书审批签字手续应齐全，加盖设计计算单位的公章或出图章。</w:t>
            </w:r>
          </w:p>
        </w:tc>
        <w:tc>
          <w:tcPr>
            <w:tcW w:w="2940" w:type="dxa"/>
            <w:tcBorders>
              <w:top w:val="single" w:color="auto" w:sz="4" w:space="0"/>
              <w:left w:val="single" w:color="auto" w:sz="4" w:space="0"/>
              <w:bottom w:val="single" w:color="auto" w:sz="4" w:space="0"/>
              <w:right w:val="single" w:color="auto" w:sz="4" w:space="0"/>
            </w:tcBorders>
            <w:noWrap w:val="0"/>
            <w:vAlign w:val="center"/>
          </w:tcPr>
          <w:p w14:paraId="6D87608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1.无热工计算书（扣5分）；</w:t>
            </w:r>
          </w:p>
          <w:p w14:paraId="58FA09F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2.计算出现严重错误或计算结果不满足建筑设计要求（每项扣0.5-3分）；</w:t>
            </w:r>
          </w:p>
          <w:p w14:paraId="64C7B96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3.缺两种及以上主要幕墙类型的热工计算书（每项扣1-2分）</w:t>
            </w:r>
          </w:p>
          <w:p w14:paraId="44AF3EE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4.其它不符合要求或不合规情况（扣0.1-0.5分）</w:t>
            </w:r>
          </w:p>
        </w:tc>
        <w:tc>
          <w:tcPr>
            <w:tcW w:w="945" w:type="dxa"/>
            <w:tcBorders>
              <w:left w:val="single" w:color="auto" w:sz="4" w:space="0"/>
              <w:right w:val="single" w:color="auto" w:sz="4" w:space="0"/>
            </w:tcBorders>
            <w:noWrap w:val="0"/>
            <w:vAlign w:val="center"/>
          </w:tcPr>
          <w:p w14:paraId="547EF93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10" w:type="dxa"/>
            <w:tcBorders>
              <w:left w:val="single" w:color="auto" w:sz="4" w:space="0"/>
              <w:right w:val="single" w:color="auto" w:sz="4" w:space="0"/>
            </w:tcBorders>
            <w:noWrap w:val="0"/>
            <w:vAlign w:val="center"/>
          </w:tcPr>
          <w:p w14:paraId="12C2428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10分</w:t>
            </w:r>
          </w:p>
        </w:tc>
        <w:tc>
          <w:tcPr>
            <w:tcW w:w="2640" w:type="dxa"/>
            <w:tcBorders>
              <w:top w:val="single" w:color="auto" w:sz="4" w:space="0"/>
              <w:left w:val="single" w:color="auto" w:sz="4" w:space="0"/>
              <w:bottom w:val="single" w:color="auto" w:sz="4" w:space="0"/>
              <w:right w:val="single" w:color="auto" w:sz="4" w:space="0"/>
            </w:tcBorders>
            <w:noWrap w:val="0"/>
            <w:vAlign w:val="center"/>
          </w:tcPr>
          <w:p w14:paraId="6E8897A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结合工程实体查热工计算书及相关资料</w:t>
            </w:r>
          </w:p>
        </w:tc>
      </w:tr>
      <w:tr w14:paraId="78A5D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3" w:hRule="atLeast"/>
        </w:trPr>
        <w:tc>
          <w:tcPr>
            <w:tcW w:w="863" w:type="dxa"/>
            <w:tcBorders>
              <w:left w:val="single" w:color="auto" w:sz="4" w:space="0"/>
              <w:bottom w:val="single" w:color="auto" w:sz="4" w:space="0"/>
              <w:right w:val="single" w:color="auto" w:sz="4" w:space="0"/>
            </w:tcBorders>
            <w:noWrap w:val="0"/>
            <w:vAlign w:val="center"/>
          </w:tcPr>
          <w:p w14:paraId="389FAB5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w:t>
            </w:r>
          </w:p>
        </w:tc>
        <w:tc>
          <w:tcPr>
            <w:tcW w:w="1372" w:type="dxa"/>
            <w:tcBorders>
              <w:left w:val="single" w:color="auto" w:sz="4" w:space="0"/>
              <w:right w:val="single" w:color="auto" w:sz="4" w:space="0"/>
            </w:tcBorders>
            <w:noWrap w:val="0"/>
            <w:vAlign w:val="center"/>
          </w:tcPr>
          <w:p w14:paraId="0EA296C8">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结构计算书</w:t>
            </w:r>
          </w:p>
        </w:tc>
        <w:tc>
          <w:tcPr>
            <w:tcW w:w="4829" w:type="dxa"/>
            <w:tcBorders>
              <w:top w:val="single" w:color="auto" w:sz="4" w:space="0"/>
              <w:left w:val="single" w:color="auto" w:sz="4" w:space="0"/>
              <w:bottom w:val="single" w:color="auto" w:sz="4" w:space="0"/>
              <w:right w:val="single" w:color="auto" w:sz="4" w:space="0"/>
            </w:tcBorders>
            <w:noWrap w:val="0"/>
            <w:vAlign w:val="center"/>
          </w:tcPr>
          <w:p w14:paraId="0FDE54C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1.工程所有的幕墙类型（包括采光顶、雨蓬、外挂遮阳及装饰构件）都应有结构计算书；</w:t>
            </w:r>
          </w:p>
          <w:p w14:paraId="4FDE5DE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结构计算内容应齐全完整不缺项（面板及龙骨强度、挠度计算，结构胶宽度、厚度计算，所有连接件都应进行强度计算，预埋件计算，焊缝长度、高度、宽度计算，玻璃托条计算，横梁端头固定件计算），计算应有明确结论，计算结果满足工程设计要求；</w:t>
            </w:r>
          </w:p>
          <w:p w14:paraId="76D516C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3.有后置埋件的、采用背栓连接面材的，应当分别对后置锚栓、背栓做受力计算；</w:t>
            </w:r>
          </w:p>
          <w:p w14:paraId="2A26895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4.正确选择计算单元，对受力最不利的各个部位都应当计算；</w:t>
            </w:r>
          </w:p>
          <w:p w14:paraId="21D5089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5.正确、合理选择计算参数（各种荷载及作用的参数及其组合，材料力学特性数值）；</w:t>
            </w:r>
          </w:p>
          <w:p w14:paraId="2AD92BA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6.龙骨、面材、连接结构的计算模型应当与图纸及实际施工情况一致，真实、正确反映受力情况；</w:t>
            </w:r>
          </w:p>
          <w:p w14:paraId="76F1F84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7.沿海及台风多发地区应对开启窗做计算，计算内容应涵盖面材及所有传力的构件、配件和材料；</w:t>
            </w:r>
          </w:p>
          <w:p w14:paraId="249B3F0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8.预应力索杆结构的计算书应当提供主体结构的拉力值和预应力值，跨度大于8米的，必须有主体结构设计单位出具的技术文件，确认主体结构能够承受索杆体系对其的作用力；</w:t>
            </w:r>
          </w:p>
          <w:p w14:paraId="2C72911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9.结构计算书审批签字手续应齐全，加盖设计计算单位的公章或出图章。</w:t>
            </w:r>
          </w:p>
        </w:tc>
        <w:tc>
          <w:tcPr>
            <w:tcW w:w="2940" w:type="dxa"/>
            <w:tcBorders>
              <w:top w:val="single" w:color="auto" w:sz="4" w:space="0"/>
              <w:left w:val="single" w:color="auto" w:sz="4" w:space="0"/>
              <w:bottom w:val="single" w:color="auto" w:sz="4" w:space="0"/>
              <w:right w:val="single" w:color="auto" w:sz="4" w:space="0"/>
            </w:tcBorders>
            <w:noWrap w:val="0"/>
            <w:vAlign w:val="center"/>
          </w:tcPr>
          <w:p w14:paraId="4C77479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1.无结构计算书的（扣20分）；</w:t>
            </w:r>
          </w:p>
          <w:p w14:paraId="5F9D27B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2.计算出现严重错误或计算结果不满足工程设计要求，使结构存在安全隐患（每项扣3-10分）；</w:t>
            </w:r>
          </w:p>
          <w:p w14:paraId="55D94E5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3.缺两种及以上主要幕墙类型的计算书（每项扣2-5分）；</w:t>
            </w:r>
          </w:p>
          <w:p w14:paraId="510B8A3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4.其它不符合要求或不合规情况（每项扣0.2-1分）</w:t>
            </w:r>
          </w:p>
        </w:tc>
        <w:tc>
          <w:tcPr>
            <w:tcW w:w="945" w:type="dxa"/>
            <w:tcBorders>
              <w:left w:val="single" w:color="auto" w:sz="4" w:space="0"/>
              <w:right w:val="single" w:color="auto" w:sz="4" w:space="0"/>
            </w:tcBorders>
            <w:noWrap w:val="0"/>
            <w:vAlign w:val="center"/>
          </w:tcPr>
          <w:p w14:paraId="065FEF6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10" w:type="dxa"/>
            <w:tcBorders>
              <w:left w:val="single" w:color="auto" w:sz="4" w:space="0"/>
              <w:right w:val="single" w:color="auto" w:sz="4" w:space="0"/>
            </w:tcBorders>
            <w:noWrap w:val="0"/>
            <w:vAlign w:val="center"/>
          </w:tcPr>
          <w:p w14:paraId="7AC7B77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20分</w:t>
            </w:r>
          </w:p>
        </w:tc>
        <w:tc>
          <w:tcPr>
            <w:tcW w:w="2640" w:type="dxa"/>
            <w:tcBorders>
              <w:top w:val="single" w:color="auto" w:sz="4" w:space="0"/>
              <w:left w:val="single" w:color="auto" w:sz="4" w:space="0"/>
              <w:bottom w:val="single" w:color="auto" w:sz="4" w:space="0"/>
              <w:right w:val="single" w:color="auto" w:sz="4" w:space="0"/>
            </w:tcBorders>
            <w:noWrap w:val="0"/>
            <w:vAlign w:val="center"/>
          </w:tcPr>
          <w:p w14:paraId="7A7B5A9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结合工程实体查结构计算书、技术资料等</w:t>
            </w:r>
          </w:p>
        </w:tc>
      </w:tr>
      <w:tr w14:paraId="1CA97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3" w:hRule="atLeast"/>
        </w:trPr>
        <w:tc>
          <w:tcPr>
            <w:tcW w:w="863" w:type="dxa"/>
            <w:tcBorders>
              <w:left w:val="single" w:color="auto" w:sz="4" w:space="0"/>
              <w:bottom w:val="single" w:color="auto" w:sz="4" w:space="0"/>
              <w:right w:val="single" w:color="auto" w:sz="4" w:space="0"/>
            </w:tcBorders>
            <w:noWrap w:val="0"/>
            <w:vAlign w:val="center"/>
          </w:tcPr>
          <w:p w14:paraId="69F089C1">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w:t>
            </w:r>
          </w:p>
        </w:tc>
        <w:tc>
          <w:tcPr>
            <w:tcW w:w="1372" w:type="dxa"/>
            <w:tcBorders>
              <w:left w:val="single" w:color="auto" w:sz="4" w:space="0"/>
              <w:right w:val="single" w:color="auto" w:sz="4" w:space="0"/>
            </w:tcBorders>
            <w:noWrap w:val="0"/>
            <w:vAlign w:val="center"/>
          </w:tcPr>
          <w:p w14:paraId="4C95A0F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竣工图纸</w:t>
            </w:r>
          </w:p>
        </w:tc>
        <w:tc>
          <w:tcPr>
            <w:tcW w:w="4829" w:type="dxa"/>
            <w:tcBorders>
              <w:top w:val="single" w:color="auto" w:sz="4" w:space="0"/>
              <w:left w:val="single" w:color="auto" w:sz="4" w:space="0"/>
              <w:bottom w:val="single" w:color="auto" w:sz="4" w:space="0"/>
              <w:right w:val="single" w:color="auto" w:sz="4" w:space="0"/>
            </w:tcBorders>
            <w:noWrap w:val="0"/>
            <w:vAlign w:val="center"/>
          </w:tcPr>
          <w:p w14:paraId="6C3CB18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1.竣工图纸应按标准要求编制，审批手续齐全并经有资质的幕墙设计单位确认；</w:t>
            </w:r>
          </w:p>
          <w:p w14:paraId="3D1E7B5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2.竣工图内容应包括：目录、设计说明、平面图、立面图、剖面图、各类型幕墙的大样详图，节点图，构件图，型材截面图、预埋件或后置埋件图等；</w:t>
            </w:r>
          </w:p>
          <w:p w14:paraId="06C6A92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设计说明应包括如下内容：工程概况、设计参数、设计依据、设计标准、设计范围、各主要幕墙类型及其设计构造、幕墙物理性能、热工性能、避雷防火说明、所用材料的材质规格、加工制作技术要求等。使用后置锚栓、石材背栓的，应当注明锚栓或背栓的拉拔力设计值和乘以2倍之后的拉拔力试验值；</w:t>
            </w:r>
          </w:p>
          <w:p w14:paraId="0C57270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4.节点图应包括各幕墙系统横梁立柱的典型节点、与主体结构连接节点、开启扇节点、转角节点、防火防雷节点、封口节点、沉降缝节点等）；</w:t>
            </w:r>
          </w:p>
          <w:p w14:paraId="125DD6C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5.幕墙设计（包括性能、节点构造、使用材料）应符合相关规范和标准的要求，符合原建筑设计的要求；</w:t>
            </w:r>
          </w:p>
          <w:p w14:paraId="25D90F4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6.隐框或半隐框玻璃幕墙、隐框做法的玻璃开启扇等使用结构胶的部位，应标注结构胶的宽度、厚度尺寸。重要连接位置的焊缝应标注焊缝尺寸。寒冷和严寒地区的幕墙节点中不得有明显冷桥；</w:t>
            </w:r>
          </w:p>
          <w:p w14:paraId="7C55987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7.旧改工程，应当有主体结构设计单位对幕墙工程图纸进行受力复核，审核确认幕墙（含雨蓬、采光顶）对主体结构作用力在其可承受范围内。</w:t>
            </w:r>
          </w:p>
        </w:tc>
        <w:tc>
          <w:tcPr>
            <w:tcW w:w="2940" w:type="dxa"/>
            <w:tcBorders>
              <w:top w:val="single" w:color="auto" w:sz="4" w:space="0"/>
              <w:left w:val="single" w:color="auto" w:sz="4" w:space="0"/>
              <w:bottom w:val="single" w:color="auto" w:sz="4" w:space="0"/>
              <w:right w:val="single" w:color="auto" w:sz="4" w:space="0"/>
            </w:tcBorders>
            <w:noWrap w:val="0"/>
            <w:vAlign w:val="center"/>
          </w:tcPr>
          <w:p w14:paraId="4C75662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1.竣工图没有设计说明或说明不符合要求的（每项扣1-3分）；</w:t>
            </w:r>
          </w:p>
          <w:p w14:paraId="6BBB3A4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2.缺两种及以上主要幕墙类型的竣工图（每项扣3-5分）；</w:t>
            </w:r>
          </w:p>
          <w:p w14:paraId="55A4034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3.其它不符合要求或不合规情况（每项扣0.5-2分）</w:t>
            </w:r>
          </w:p>
        </w:tc>
        <w:tc>
          <w:tcPr>
            <w:tcW w:w="945" w:type="dxa"/>
            <w:tcBorders>
              <w:left w:val="single" w:color="auto" w:sz="4" w:space="0"/>
              <w:right w:val="single" w:color="auto" w:sz="4" w:space="0"/>
            </w:tcBorders>
            <w:noWrap w:val="0"/>
            <w:vAlign w:val="center"/>
          </w:tcPr>
          <w:p w14:paraId="0010FAA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10" w:type="dxa"/>
            <w:tcBorders>
              <w:left w:val="single" w:color="auto" w:sz="4" w:space="0"/>
              <w:right w:val="single" w:color="auto" w:sz="4" w:space="0"/>
            </w:tcBorders>
            <w:noWrap w:val="0"/>
            <w:vAlign w:val="center"/>
          </w:tcPr>
          <w:p w14:paraId="203D955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15分</w:t>
            </w:r>
          </w:p>
        </w:tc>
        <w:tc>
          <w:tcPr>
            <w:tcW w:w="2640" w:type="dxa"/>
            <w:tcBorders>
              <w:top w:val="single" w:color="auto" w:sz="4" w:space="0"/>
              <w:left w:val="single" w:color="auto" w:sz="4" w:space="0"/>
              <w:bottom w:val="single" w:color="auto" w:sz="4" w:space="0"/>
              <w:right w:val="single" w:color="auto" w:sz="4" w:space="0"/>
            </w:tcBorders>
            <w:noWrap w:val="0"/>
            <w:vAlign w:val="center"/>
          </w:tcPr>
          <w:p w14:paraId="269E39C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结合工程实体查竣工图纸</w:t>
            </w:r>
          </w:p>
        </w:tc>
      </w:tr>
    </w:tbl>
    <w:p w14:paraId="107B997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rPr>
      </w:pPr>
      <w:r>
        <w:rPr>
          <w:rFonts w:hint="eastAsia" w:ascii="方正仿宋_GB2312" w:hAnsi="方正仿宋_GB2312" w:eastAsia="方正仿宋_GB2312" w:cs="方正仿宋_GB2312"/>
          <w:spacing w:val="0"/>
        </w:rPr>
        <w:br w:type="page"/>
      </w:r>
    </w:p>
    <w:tbl>
      <w:tblPr>
        <w:tblStyle w:val="25"/>
        <w:tblW w:w="14295" w:type="dxa"/>
        <w:tblInd w:w="-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365"/>
        <w:gridCol w:w="4935"/>
        <w:gridCol w:w="2925"/>
        <w:gridCol w:w="945"/>
        <w:gridCol w:w="878"/>
        <w:gridCol w:w="2377"/>
      </w:tblGrid>
      <w:tr w14:paraId="4A7A7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870" w:type="dxa"/>
            <w:tcBorders>
              <w:left w:val="single" w:color="auto" w:sz="4" w:space="0"/>
              <w:bottom w:val="single" w:color="auto" w:sz="4" w:space="0"/>
              <w:right w:val="single" w:color="auto" w:sz="4" w:space="0"/>
            </w:tcBorders>
            <w:noWrap w:val="0"/>
            <w:vAlign w:val="center"/>
          </w:tcPr>
          <w:p w14:paraId="4D2F6FB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w:t>
            </w:r>
          </w:p>
        </w:tc>
        <w:tc>
          <w:tcPr>
            <w:tcW w:w="1365" w:type="dxa"/>
            <w:tcBorders>
              <w:left w:val="single" w:color="auto" w:sz="4" w:space="0"/>
              <w:right w:val="single" w:color="auto" w:sz="4" w:space="0"/>
            </w:tcBorders>
            <w:noWrap w:val="0"/>
            <w:vAlign w:val="center"/>
          </w:tcPr>
          <w:p w14:paraId="0BA8ABC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工程实体</w:t>
            </w:r>
          </w:p>
        </w:tc>
        <w:tc>
          <w:tcPr>
            <w:tcW w:w="4935" w:type="dxa"/>
            <w:tcBorders>
              <w:top w:val="single" w:color="auto" w:sz="4" w:space="0"/>
              <w:left w:val="single" w:color="auto" w:sz="4" w:space="0"/>
              <w:bottom w:val="single" w:color="auto" w:sz="4" w:space="0"/>
              <w:right w:val="single" w:color="auto" w:sz="4" w:space="0"/>
            </w:tcBorders>
            <w:noWrap w:val="0"/>
            <w:vAlign w:val="center"/>
          </w:tcPr>
          <w:p w14:paraId="14B7446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1.整体装饰效果应好或很好；</w:t>
            </w:r>
          </w:p>
          <w:p w14:paraId="641EFAD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2.工程现场实际的构造做法、使用的材料应当与幕墙设计图一致，按图施工；</w:t>
            </w:r>
          </w:p>
          <w:p w14:paraId="1897E90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bCs/>
                <w:spacing w:val="0"/>
                <w:szCs w:val="21"/>
              </w:rPr>
              <w:t>3.幕墙的外观质量应符合要求。面材平整干净无污染、无破损、无漏水、无褪色。胶缝、装饰线条横平竖直，弧线造型顺滑，五金附件无锈蚀，收边收口密封严密；</w:t>
            </w:r>
          </w:p>
          <w:p w14:paraId="49C2339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bCs/>
                <w:spacing w:val="0"/>
                <w:szCs w:val="21"/>
              </w:rPr>
              <w:t>4.玻璃反射影像应当无畸形或畸形较小，玻璃内衬板平整；</w:t>
            </w:r>
          </w:p>
          <w:p w14:paraId="70938C7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5.连接件、驳接爪等钢件无严重锈蚀；密封胶保持良好弹性，无硬化；</w:t>
            </w:r>
          </w:p>
          <w:p w14:paraId="662ACC3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w:t>
            </w:r>
            <w:r>
              <w:rPr>
                <w:rFonts w:hint="eastAsia" w:ascii="方正仿宋_GB2312" w:hAnsi="方正仿宋_GB2312" w:eastAsia="方正仿宋_GB2312" w:cs="方正仿宋_GB2312"/>
                <w:spacing w:val="0"/>
              </w:rPr>
              <w:t>幕墙外开窗的开启扇应采取防脱落措施；</w:t>
            </w:r>
            <w:r>
              <w:rPr>
                <w:rFonts w:hint="eastAsia" w:ascii="方正仿宋_GB2312" w:hAnsi="方正仿宋_GB2312" w:eastAsia="方正仿宋_GB2312" w:cs="方正仿宋_GB2312"/>
                <w:spacing w:val="0"/>
                <w:szCs w:val="21"/>
              </w:rPr>
              <w:t>开启门窗密封性好、开启灵活，设置开启限位装置，高层外开窗安装防脱落装置；</w:t>
            </w:r>
          </w:p>
          <w:p w14:paraId="77C65E1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rPr>
              <w:t>7</w:t>
            </w:r>
            <w:r>
              <w:rPr>
                <w:rFonts w:hint="eastAsia" w:ascii="方正仿宋_GB2312" w:hAnsi="方正仿宋_GB2312" w:eastAsia="方正仿宋_GB2312" w:cs="方正仿宋_GB2312"/>
                <w:spacing w:val="0"/>
                <w:szCs w:val="21"/>
              </w:rPr>
              <w:t>.增加“玻璃幕墙的玻璃面板应采用安全玻璃，斜幕墙的玻璃面板应采用夹层玻璃”</w:t>
            </w:r>
          </w:p>
          <w:p w14:paraId="5F8E139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8.外倾斜、水平倒挂的脆性材料应有防脱落、防坠落措施；</w:t>
            </w:r>
          </w:p>
          <w:p w14:paraId="68EFD43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9.隐框、半隐框玻璃板块及翻窗开启扇玻璃底部应安装玻璃托条；</w:t>
            </w:r>
          </w:p>
          <w:p w14:paraId="7B8FEF9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10.石材幕墙面板色差小或无色差，幕墙胶缝无严重污染；</w:t>
            </w:r>
          </w:p>
          <w:p w14:paraId="57533CB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11.防火封修做法规范，符合设计要求，缝隙用防火密封胶密封；</w:t>
            </w:r>
          </w:p>
          <w:p w14:paraId="04107F3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12.屋面女儿墙避雷导线安装规范且符合设计要求；</w:t>
            </w:r>
          </w:p>
          <w:p w14:paraId="1FCC2BA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13.工程无安全隐患；</w:t>
            </w:r>
          </w:p>
          <w:p w14:paraId="760150F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14.构造上应安全可靠，应符合《关于淘汰建筑幕墙落后产品和技术的指导意见》（中装协[2016]89号）文件的要求；</w:t>
            </w:r>
          </w:p>
          <w:p w14:paraId="752BB8D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15.应符合《关于进一步加强玻璃幕墙安全防护工作的通知》（建标[2015]38号）文件的要求；</w:t>
            </w:r>
          </w:p>
        </w:tc>
        <w:tc>
          <w:tcPr>
            <w:tcW w:w="2925" w:type="dxa"/>
            <w:tcBorders>
              <w:top w:val="single" w:color="auto" w:sz="4" w:space="0"/>
              <w:left w:val="single" w:color="auto" w:sz="4" w:space="0"/>
              <w:bottom w:val="single" w:color="auto" w:sz="4" w:space="0"/>
              <w:right w:val="single" w:color="auto" w:sz="4" w:space="0"/>
            </w:tcBorders>
            <w:noWrap w:val="0"/>
            <w:vAlign w:val="center"/>
          </w:tcPr>
          <w:p w14:paraId="0B747F7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1.未按住建部建标[2015]38号文件或中装协[2016]89号文件要求设计、施工的（扣10-20分）；</w:t>
            </w:r>
          </w:p>
          <w:p w14:paraId="7A8F516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2.工程存在严重质量、安全隐患（每项扣10-20分）；</w:t>
            </w:r>
          </w:p>
          <w:p w14:paraId="26F90B3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3.设计的结构构造存在严重的安全隐患或严重的质量问题（扣10-20分）；</w:t>
            </w:r>
          </w:p>
          <w:p w14:paraId="4007860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4.施工现场打结构胶（全玻璃幕墙除外）（每项扣1-3分）；</w:t>
            </w:r>
          </w:p>
          <w:p w14:paraId="7F56E96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5.其它不符合要求或不合规情况（每项扣0.5-2分）。</w:t>
            </w:r>
          </w:p>
        </w:tc>
        <w:tc>
          <w:tcPr>
            <w:tcW w:w="945" w:type="dxa"/>
            <w:tcBorders>
              <w:left w:val="single" w:color="auto" w:sz="4" w:space="0"/>
              <w:right w:val="single" w:color="auto" w:sz="4" w:space="0"/>
            </w:tcBorders>
            <w:noWrap w:val="0"/>
            <w:vAlign w:val="center"/>
          </w:tcPr>
          <w:p w14:paraId="30EE4F8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工程实体外观质量及整体效果；</w:t>
            </w:r>
          </w:p>
          <w:p w14:paraId="1A42C36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p w14:paraId="5A19CFD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做工精细程度及材料质量；</w:t>
            </w:r>
          </w:p>
          <w:p w14:paraId="282BEB1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p w14:paraId="1584FD5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严寒、台风等特殊气候地区的应对措施</w:t>
            </w:r>
          </w:p>
          <w:p w14:paraId="1C60432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p w14:paraId="1B00A86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工程实体与设计图、竣工图、质量管理资料的符合性；</w:t>
            </w:r>
          </w:p>
        </w:tc>
        <w:tc>
          <w:tcPr>
            <w:tcW w:w="878" w:type="dxa"/>
            <w:tcBorders>
              <w:left w:val="single" w:color="auto" w:sz="4" w:space="0"/>
              <w:right w:val="single" w:color="auto" w:sz="4" w:space="0"/>
            </w:tcBorders>
            <w:noWrap w:val="0"/>
            <w:vAlign w:val="center"/>
          </w:tcPr>
          <w:p w14:paraId="512D4429">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20分</w:t>
            </w:r>
          </w:p>
        </w:tc>
        <w:tc>
          <w:tcPr>
            <w:tcW w:w="2377" w:type="dxa"/>
            <w:tcBorders>
              <w:top w:val="single" w:color="auto" w:sz="4" w:space="0"/>
              <w:left w:val="single" w:color="auto" w:sz="4" w:space="0"/>
              <w:bottom w:val="single" w:color="auto" w:sz="4" w:space="0"/>
              <w:right w:val="single" w:color="auto" w:sz="4" w:space="0"/>
            </w:tcBorders>
            <w:noWrap w:val="0"/>
            <w:vAlign w:val="center"/>
          </w:tcPr>
          <w:p w14:paraId="1AAA1D6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结合图纸、质量管理资料等查工程实体</w:t>
            </w:r>
          </w:p>
        </w:tc>
      </w:tr>
      <w:tr w14:paraId="2DD19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7" w:hRule="atLeast"/>
        </w:trPr>
        <w:tc>
          <w:tcPr>
            <w:tcW w:w="870" w:type="dxa"/>
            <w:tcBorders>
              <w:left w:val="single" w:color="auto" w:sz="4" w:space="0"/>
              <w:bottom w:val="single" w:color="auto" w:sz="4" w:space="0"/>
              <w:right w:val="single" w:color="auto" w:sz="4" w:space="0"/>
            </w:tcBorders>
            <w:noWrap w:val="0"/>
            <w:vAlign w:val="center"/>
          </w:tcPr>
          <w:p w14:paraId="7756CF3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w:t>
            </w:r>
          </w:p>
        </w:tc>
        <w:tc>
          <w:tcPr>
            <w:tcW w:w="1365" w:type="dxa"/>
            <w:tcBorders>
              <w:left w:val="single" w:color="auto" w:sz="4" w:space="0"/>
              <w:right w:val="single" w:color="auto" w:sz="4" w:space="0"/>
            </w:tcBorders>
            <w:noWrap w:val="0"/>
            <w:vAlign w:val="center"/>
          </w:tcPr>
          <w:p w14:paraId="50F5680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科技创新</w:t>
            </w:r>
          </w:p>
        </w:tc>
        <w:tc>
          <w:tcPr>
            <w:tcW w:w="4935" w:type="dxa"/>
            <w:tcBorders>
              <w:top w:val="single" w:color="auto" w:sz="4" w:space="0"/>
              <w:left w:val="single" w:color="auto" w:sz="4" w:space="0"/>
              <w:bottom w:val="single" w:color="auto" w:sz="4" w:space="0"/>
              <w:right w:val="single" w:color="auto" w:sz="4" w:space="0"/>
            </w:tcBorders>
            <w:noWrap w:val="0"/>
            <w:vAlign w:val="center"/>
          </w:tcPr>
          <w:p w14:paraId="4EAAC82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1.创新技术、工艺、工法等；</w:t>
            </w:r>
          </w:p>
          <w:p w14:paraId="5EF5B93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2.采用了新材料、新工艺、新技术或有利于环保节能等的材料、技术、措施、工艺、工法等；</w:t>
            </w:r>
          </w:p>
          <w:p w14:paraId="78EAB98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3.获得了与申报工程相关的发明专利、实用新型专利、省级或以上工艺工法等；</w:t>
            </w:r>
          </w:p>
          <w:p w14:paraId="0A9BD08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4.本工程已获得中装协建筑装饰行业科学技术奖；</w:t>
            </w:r>
          </w:p>
          <w:p w14:paraId="0F1618F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5.预应力技术、3D打印技术、预制混凝土外墙挂板技术、索结构应用技术等。新工艺包括拥有省级及以上工法等。</w:t>
            </w:r>
          </w:p>
          <w:p w14:paraId="1C22032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14:paraId="04AED70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缺少其中内容，扣0.5-3分。</w:t>
            </w:r>
          </w:p>
        </w:tc>
        <w:tc>
          <w:tcPr>
            <w:tcW w:w="945" w:type="dxa"/>
            <w:tcBorders>
              <w:left w:val="single" w:color="auto" w:sz="4" w:space="0"/>
              <w:right w:val="single" w:color="auto" w:sz="4" w:space="0"/>
            </w:tcBorders>
            <w:noWrap w:val="0"/>
            <w:vAlign w:val="center"/>
          </w:tcPr>
          <w:p w14:paraId="7DB7581C">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78" w:type="dxa"/>
            <w:tcBorders>
              <w:left w:val="single" w:color="auto" w:sz="4" w:space="0"/>
              <w:right w:val="single" w:color="auto" w:sz="4" w:space="0"/>
            </w:tcBorders>
            <w:noWrap w:val="0"/>
            <w:vAlign w:val="center"/>
          </w:tcPr>
          <w:p w14:paraId="77BE2312">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5分</w:t>
            </w:r>
          </w:p>
        </w:tc>
        <w:tc>
          <w:tcPr>
            <w:tcW w:w="2377" w:type="dxa"/>
            <w:tcBorders>
              <w:top w:val="single" w:color="auto" w:sz="4" w:space="0"/>
              <w:left w:val="single" w:color="auto" w:sz="4" w:space="0"/>
              <w:bottom w:val="single" w:color="auto" w:sz="4" w:space="0"/>
              <w:right w:val="single" w:color="auto" w:sz="4" w:space="0"/>
            </w:tcBorders>
            <w:noWrap w:val="0"/>
            <w:vAlign w:val="center"/>
          </w:tcPr>
          <w:p w14:paraId="5451FEF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查：工程实体、图纸、质量管理与技术资料等。</w:t>
            </w:r>
          </w:p>
        </w:tc>
      </w:tr>
      <w:tr w14:paraId="70AA4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4" w:hRule="atLeast"/>
        </w:trPr>
        <w:tc>
          <w:tcPr>
            <w:tcW w:w="870" w:type="dxa"/>
            <w:tcBorders>
              <w:left w:val="single" w:color="auto" w:sz="4" w:space="0"/>
              <w:bottom w:val="single" w:color="auto" w:sz="4" w:space="0"/>
              <w:right w:val="single" w:color="auto" w:sz="4" w:space="0"/>
            </w:tcBorders>
            <w:noWrap w:val="0"/>
            <w:vAlign w:val="center"/>
          </w:tcPr>
          <w:p w14:paraId="653DFAF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w:t>
            </w:r>
          </w:p>
        </w:tc>
        <w:tc>
          <w:tcPr>
            <w:tcW w:w="1365" w:type="dxa"/>
            <w:tcBorders>
              <w:left w:val="single" w:color="auto" w:sz="4" w:space="0"/>
              <w:right w:val="single" w:color="auto" w:sz="4" w:space="0"/>
            </w:tcBorders>
            <w:noWrap w:val="0"/>
            <w:vAlign w:val="center"/>
          </w:tcPr>
          <w:p w14:paraId="755E888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总体印象</w:t>
            </w:r>
          </w:p>
        </w:tc>
        <w:tc>
          <w:tcPr>
            <w:tcW w:w="4935" w:type="dxa"/>
            <w:tcBorders>
              <w:top w:val="single" w:color="auto" w:sz="4" w:space="0"/>
              <w:left w:val="single" w:color="auto" w:sz="4" w:space="0"/>
              <w:bottom w:val="single" w:color="auto" w:sz="4" w:space="0"/>
              <w:right w:val="single" w:color="auto" w:sz="4" w:space="0"/>
            </w:tcBorders>
            <w:noWrap w:val="0"/>
            <w:vAlign w:val="center"/>
          </w:tcPr>
          <w:p w14:paraId="07C7104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1.组织工作准备充分，人员到位（项目经理或执行经理、技术负责人和资料员等相关人员应到场），汇报PPT内容重点突出、清晰简洁；</w:t>
            </w:r>
          </w:p>
          <w:p w14:paraId="43DB918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2.资料准备充分有序，易于查找；</w:t>
            </w:r>
          </w:p>
          <w:p w14:paraId="5B38923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3.用户沟通意见；</w:t>
            </w:r>
          </w:p>
          <w:p w14:paraId="682D0DA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4.工程实体检查顺畅不受阻。</w:t>
            </w:r>
          </w:p>
        </w:tc>
        <w:tc>
          <w:tcPr>
            <w:tcW w:w="2925" w:type="dxa"/>
            <w:tcBorders>
              <w:top w:val="single" w:color="auto" w:sz="4" w:space="0"/>
              <w:left w:val="single" w:color="auto" w:sz="4" w:space="0"/>
              <w:bottom w:val="single" w:color="auto" w:sz="4" w:space="0"/>
              <w:right w:val="single" w:color="auto" w:sz="4" w:space="0"/>
            </w:tcBorders>
            <w:noWrap w:val="0"/>
            <w:vAlign w:val="center"/>
          </w:tcPr>
          <w:p w14:paraId="1604232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1.工程施工主要负责人均未到场（扣1-2分）；</w:t>
            </w:r>
          </w:p>
          <w:p w14:paraId="18C1920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2.资料准备无序不齐全（扣1-2分）；</w:t>
            </w:r>
          </w:p>
          <w:p w14:paraId="5DC1117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3.总体印象不佳（扣1-5分）；</w:t>
            </w:r>
          </w:p>
          <w:p w14:paraId="6076279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4.其它不规范、不到位情况（每项扣0.5-1分）。</w:t>
            </w:r>
          </w:p>
        </w:tc>
        <w:tc>
          <w:tcPr>
            <w:tcW w:w="945" w:type="dxa"/>
            <w:tcBorders>
              <w:left w:val="single" w:color="auto" w:sz="4" w:space="0"/>
              <w:right w:val="single" w:color="auto" w:sz="4" w:space="0"/>
            </w:tcBorders>
            <w:noWrap w:val="0"/>
            <w:vAlign w:val="center"/>
          </w:tcPr>
          <w:p w14:paraId="6196564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人员、资料、过程安排准备不足；未做PPT汇报资料等</w:t>
            </w:r>
          </w:p>
        </w:tc>
        <w:tc>
          <w:tcPr>
            <w:tcW w:w="878" w:type="dxa"/>
            <w:tcBorders>
              <w:left w:val="single" w:color="auto" w:sz="4" w:space="0"/>
              <w:right w:val="single" w:color="auto" w:sz="4" w:space="0"/>
            </w:tcBorders>
            <w:noWrap w:val="0"/>
            <w:vAlign w:val="center"/>
          </w:tcPr>
          <w:p w14:paraId="5C57DDC8">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10分</w:t>
            </w:r>
          </w:p>
        </w:tc>
        <w:tc>
          <w:tcPr>
            <w:tcW w:w="2377" w:type="dxa"/>
            <w:tcBorders>
              <w:top w:val="single" w:color="auto" w:sz="4" w:space="0"/>
              <w:left w:val="single" w:color="auto" w:sz="4" w:space="0"/>
              <w:bottom w:val="single" w:color="auto" w:sz="4" w:space="0"/>
              <w:right w:val="single" w:color="auto" w:sz="4" w:space="0"/>
            </w:tcBorders>
            <w:noWrap w:val="0"/>
            <w:vAlign w:val="center"/>
          </w:tcPr>
          <w:p w14:paraId="3567E34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w:t>
            </w:r>
          </w:p>
          <w:p w14:paraId="66E4B75A">
            <w:pPr>
              <w:keepNext w:val="0"/>
              <w:keepLines w:val="0"/>
              <w:pageBreakBefore w:val="0"/>
              <w:widowControl w:val="0"/>
              <w:numPr>
                <w:ilvl w:val="0"/>
                <w:numId w:val="8"/>
              </w:numPr>
              <w:kinsoku/>
              <w:wordWrap/>
              <w:overflowPunct/>
              <w:topLinePunct w:val="0"/>
              <w:bidi w:val="0"/>
              <w:snapToGrid/>
              <w:spacing w:line="240" w:lineRule="auto"/>
              <w:ind w:left="16" w:hanging="16"/>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组织准备情况；</w:t>
            </w:r>
          </w:p>
          <w:p w14:paraId="41E0DF53">
            <w:pPr>
              <w:keepNext w:val="0"/>
              <w:keepLines w:val="0"/>
              <w:pageBreakBefore w:val="0"/>
              <w:widowControl w:val="0"/>
              <w:numPr>
                <w:ilvl w:val="0"/>
                <w:numId w:val="8"/>
              </w:numPr>
              <w:kinsoku/>
              <w:wordWrap/>
              <w:overflowPunct/>
              <w:topLinePunct w:val="0"/>
              <w:bidi w:val="0"/>
              <w:snapToGrid/>
              <w:spacing w:line="240" w:lineRule="auto"/>
              <w:ind w:left="16" w:hanging="16"/>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PPT（项目概况、施工范围、重点难点亮点、施工过程中情况图片等，汇报时间10分钟内）；</w:t>
            </w:r>
          </w:p>
          <w:p w14:paraId="1A56D815">
            <w:pPr>
              <w:keepNext w:val="0"/>
              <w:keepLines w:val="0"/>
              <w:pageBreakBefore w:val="0"/>
              <w:widowControl w:val="0"/>
              <w:numPr>
                <w:ilvl w:val="0"/>
                <w:numId w:val="8"/>
              </w:numPr>
              <w:kinsoku/>
              <w:wordWrap/>
              <w:overflowPunct/>
              <w:topLinePunct w:val="0"/>
              <w:bidi w:val="0"/>
              <w:snapToGrid/>
              <w:spacing w:line="240" w:lineRule="auto"/>
              <w:ind w:left="16" w:hanging="16"/>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用户意见。</w:t>
            </w:r>
          </w:p>
        </w:tc>
      </w:tr>
    </w:tbl>
    <w:p w14:paraId="0BD3EED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rPr>
        <w:sectPr>
          <w:pgSz w:w="16838" w:h="11906" w:orient="landscape"/>
          <w:pgMar w:top="1247" w:right="1440" w:bottom="1587" w:left="1440" w:header="851" w:footer="992" w:gutter="0"/>
          <w:pgNumType w:fmt="numberInDash"/>
          <w:cols w:space="720" w:num="1"/>
          <w:docGrid w:type="lines" w:linePitch="312" w:charSpace="0"/>
        </w:sectPr>
      </w:pPr>
    </w:p>
    <w:p w14:paraId="4112244C">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spacing w:val="0"/>
          <w:sz w:val="32"/>
          <w:szCs w:val="32"/>
        </w:rPr>
      </w:pPr>
      <w:r>
        <w:rPr>
          <w:rFonts w:hint="eastAsia" w:ascii="黑体" w:hAnsi="黑体" w:eastAsia="黑体" w:cs="黑体"/>
          <w:spacing w:val="0"/>
          <w:sz w:val="32"/>
          <w:szCs w:val="32"/>
        </w:rPr>
        <w:t>附件4</w:t>
      </w:r>
    </w:p>
    <w:p w14:paraId="042042E1">
      <w:pPr>
        <w:keepNext w:val="0"/>
        <w:keepLines w:val="0"/>
        <w:pageBreakBefore w:val="0"/>
        <w:widowControl w:val="0"/>
        <w:kinsoku/>
        <w:wordWrap/>
        <w:overflowPunct/>
        <w:topLinePunct w:val="0"/>
        <w:autoSpaceDE w:val="0"/>
        <w:autoSpaceDN w:val="0"/>
        <w:bidi w:val="0"/>
        <w:adjustRightInd/>
        <w:snapToGrid/>
        <w:spacing w:beforeAutospacing="0" w:afterAutospacing="0" w:line="288" w:lineRule="auto"/>
        <w:ind w:left="0" w:right="0" w:firstLine="0"/>
        <w:jc w:val="center"/>
        <w:textAlignment w:val="auto"/>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pPr>
      <w:r>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t>中国建筑装饰协会中国建筑工程装饰奖</w:t>
      </w:r>
    </w:p>
    <w:p w14:paraId="38251A99">
      <w:pPr>
        <w:keepNext w:val="0"/>
        <w:keepLines w:val="0"/>
        <w:pageBreakBefore w:val="0"/>
        <w:widowControl w:val="0"/>
        <w:kinsoku/>
        <w:wordWrap/>
        <w:overflowPunct/>
        <w:topLinePunct w:val="0"/>
        <w:autoSpaceDE w:val="0"/>
        <w:autoSpaceDN w:val="0"/>
        <w:bidi w:val="0"/>
        <w:adjustRightInd/>
        <w:snapToGrid/>
        <w:spacing w:beforeAutospacing="0" w:afterAutospacing="0" w:line="288" w:lineRule="auto"/>
        <w:ind w:left="0" w:right="0" w:firstLine="0"/>
        <w:jc w:val="center"/>
        <w:textAlignment w:val="auto"/>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pPr>
      <w:r>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t>复查实施细则</w:t>
      </w:r>
    </w:p>
    <w:p w14:paraId="709FBC3E">
      <w:pPr>
        <w:keepNext w:val="0"/>
        <w:keepLines w:val="0"/>
        <w:pageBreakBefore w:val="0"/>
        <w:widowControl w:val="0"/>
        <w:kinsoku/>
        <w:wordWrap/>
        <w:overflowPunct/>
        <w:topLinePunct w:val="0"/>
        <w:bidi w:val="0"/>
        <w:snapToGrid/>
        <w:spacing w:line="240" w:lineRule="auto"/>
        <w:jc w:val="center"/>
        <w:textAlignment w:val="auto"/>
        <w:rPr>
          <w:rFonts w:hint="eastAsia" w:ascii="楷体_GB2312" w:hAnsi="楷体_GB2312" w:eastAsia="楷体_GB2312" w:cs="楷体_GB2312"/>
          <w:b/>
          <w:bCs/>
          <w:spacing w:val="0"/>
          <w:sz w:val="32"/>
          <w:szCs w:val="32"/>
        </w:rPr>
      </w:pPr>
      <w:r>
        <w:rPr>
          <w:rFonts w:hint="eastAsia" w:ascii="楷体_GB2312" w:hAnsi="楷体_GB2312" w:eastAsia="楷体_GB2312" w:cs="楷体_GB2312"/>
          <w:spacing w:val="0"/>
          <w:sz w:val="32"/>
          <w:szCs w:val="32"/>
        </w:rPr>
        <w:t>建筑幕墙设计</w:t>
      </w:r>
    </w:p>
    <w:p w14:paraId="47C11A97">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lang w:val="en-US" w:eastAsia="zh-CN"/>
        </w:rPr>
      </w:pPr>
      <w:bookmarkStart w:id="33" w:name="_Toc24254"/>
      <w:bookmarkStart w:id="34" w:name="_Toc4"/>
    </w:p>
    <w:p w14:paraId="6884AD44">
      <w:pPr>
        <w:keepNext w:val="0"/>
        <w:keepLines w:val="0"/>
        <w:pageBreakBefore w:val="0"/>
        <w:widowControl w:val="0"/>
        <w:numPr>
          <w:ilvl w:val="0"/>
          <w:numId w:val="0"/>
        </w:numPr>
        <w:kinsoku/>
        <w:wordWrap/>
        <w:overflowPunct/>
        <w:topLinePunct w:val="0"/>
        <w:bidi w:val="0"/>
        <w:adjustRightInd w:val="0"/>
        <w:snapToGrid/>
        <w:spacing w:line="240" w:lineRule="auto"/>
        <w:ind w:firstLine="640" w:firstLineChars="200"/>
        <w:textAlignment w:val="auto"/>
        <w:outlineLvl w:val="1"/>
        <w:rPr>
          <w:rFonts w:hint="eastAsia" w:ascii="黑体" w:hAnsi="黑体" w:eastAsia="黑体" w:cs="黑体"/>
          <w:bCs/>
          <w:spacing w:val="0"/>
          <w:sz w:val="32"/>
          <w:szCs w:val="32"/>
        </w:rPr>
      </w:pPr>
      <w:r>
        <w:rPr>
          <w:rFonts w:hint="eastAsia" w:ascii="黑体" w:hAnsi="黑体" w:eastAsia="黑体" w:cs="黑体"/>
          <w:bCs/>
          <w:spacing w:val="0"/>
          <w:kern w:val="2"/>
          <w:sz w:val="32"/>
          <w:szCs w:val="32"/>
          <w:lang w:val="en-US" w:eastAsia="zh-CN" w:bidi="ar-SA"/>
        </w:rPr>
        <w:t>一、</w:t>
      </w:r>
      <w:r>
        <w:rPr>
          <w:rFonts w:hint="eastAsia" w:ascii="黑体" w:hAnsi="黑体" w:eastAsia="黑体" w:cs="黑体"/>
          <w:bCs/>
          <w:spacing w:val="0"/>
          <w:sz w:val="32"/>
          <w:szCs w:val="32"/>
        </w:rPr>
        <w:t>评分标准及要求</w:t>
      </w:r>
      <w:bookmarkEnd w:id="33"/>
      <w:bookmarkEnd w:id="34"/>
    </w:p>
    <w:p w14:paraId="41180C01">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设计项目是指含施工图设计的工程设计项目，仅对施工图做深化的设计项目不可申报，面积不低于</w:t>
      </w:r>
      <w:r>
        <w:rPr>
          <w:rFonts w:hint="eastAsia" w:ascii="仿宋_GB2312" w:hAnsi="仿宋_GB2312" w:eastAsia="仿宋_GB2312" w:cs="仿宋_GB2312"/>
          <w:spacing w:val="0"/>
          <w:sz w:val="32"/>
          <w:szCs w:val="32"/>
          <w:lang w:val="en-US" w:eastAsia="zh-CN"/>
        </w:rPr>
        <w:t>15</w:t>
      </w:r>
      <w:r>
        <w:rPr>
          <w:rFonts w:hint="eastAsia" w:ascii="仿宋_GB2312" w:hAnsi="仿宋_GB2312" w:eastAsia="仿宋_GB2312" w:cs="仿宋_GB2312"/>
          <w:spacing w:val="0"/>
          <w:sz w:val="32"/>
          <w:szCs w:val="32"/>
        </w:rPr>
        <w:t>000㎡。未申报建筑幕墙类的工程项目不得单独申报建筑幕墙类设计。</w:t>
      </w:r>
    </w:p>
    <w:p w14:paraId="73D28461">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鉴于建筑幕墙设计项目的工程性质、类别、规模、使用的材料、采用的工艺等各方面差别较大，故复查设计项目的评分采用扣分法，本细则重点列出了资料（必要文件）、设计说明、施工图、热工计算书、结构计算书、创新技术、总体印象等几个方面的常见问题、质量通病和涉及安全与使用的问题，结合复查中查出的问题进行评分。项目复查总分为100分。</w:t>
      </w:r>
    </w:p>
    <w:p w14:paraId="0531AE81">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《工程复查评分标准——建筑幕墙设计》中所列均为设计复查的必查和主查内容，各复查小组可根据项目实际情况做必要的补充和调整，但必查内容不可取消。复查评分严格按照各项要求及分值进行复查</w:t>
      </w:r>
      <w:r>
        <w:rPr>
          <w:rFonts w:hint="eastAsia" w:ascii="仿宋_GB2312" w:hAnsi="仿宋_GB2312" w:eastAsia="仿宋_GB2312" w:cs="仿宋_GB2312"/>
          <w:spacing w:val="-6"/>
          <w:sz w:val="32"/>
          <w:szCs w:val="32"/>
        </w:rPr>
        <w:t>评分，并将各大项评分记录在申报表项目复查表中。</w:t>
      </w:r>
    </w:p>
    <w:p w14:paraId="291D56C0">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申报装饰奖的单位应重视对项目设计中安全隐患的排查、图纸合规性自查及相关必要文件的准备，要求申报单位在申报前对涉及安全、结构、热工、防火、隐蔽资料等方面的情况进行自查，使其符合相应的国家强制性规范和标准以及装饰奖复查要求：</w:t>
      </w:r>
    </w:p>
    <w:p w14:paraId="72492188">
      <w:pPr>
        <w:keepNext w:val="0"/>
        <w:keepLines w:val="0"/>
        <w:pageBreakBefore w:val="0"/>
        <w:widowControl w:val="0"/>
        <w:numPr>
          <w:ilvl w:val="0"/>
          <w:numId w:val="0"/>
        </w:numPr>
        <w:kinsoku/>
        <w:wordWrap/>
        <w:overflowPunct/>
        <w:topLinePunct w:val="0"/>
        <w:bidi w:val="0"/>
        <w:adjustRightInd w:val="0"/>
        <w:snapToGrid/>
        <w:spacing w:line="240" w:lineRule="auto"/>
        <w:ind w:firstLine="640" w:firstLineChars="200"/>
        <w:textAlignment w:val="auto"/>
        <w:outlineLvl w:val="1"/>
        <w:rPr>
          <w:rFonts w:hint="eastAsia" w:ascii="黑体" w:hAnsi="黑体" w:eastAsia="黑体" w:cs="黑体"/>
          <w:bCs/>
          <w:spacing w:val="0"/>
          <w:kern w:val="2"/>
          <w:sz w:val="32"/>
          <w:szCs w:val="32"/>
          <w:lang w:val="en-US" w:eastAsia="zh-CN" w:bidi="ar-SA"/>
        </w:rPr>
      </w:pPr>
      <w:bookmarkStart w:id="35" w:name="_Toc16828"/>
      <w:bookmarkStart w:id="36" w:name="_Toc13281"/>
      <w:r>
        <w:rPr>
          <w:rFonts w:hint="eastAsia" w:ascii="黑体" w:hAnsi="黑体" w:eastAsia="黑体" w:cs="黑体"/>
          <w:bCs/>
          <w:spacing w:val="0"/>
          <w:kern w:val="2"/>
          <w:sz w:val="32"/>
          <w:szCs w:val="32"/>
          <w:lang w:val="en-US" w:eastAsia="zh-CN" w:bidi="ar-SA"/>
        </w:rPr>
        <w:t>二、执行的法规、规范和标准</w:t>
      </w:r>
      <w:bookmarkEnd w:id="35"/>
    </w:p>
    <w:p w14:paraId="0041432F">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sectPr>
          <w:pgSz w:w="11906" w:h="16838"/>
          <w:pgMar w:top="1440" w:right="1247" w:bottom="1440" w:left="1587" w:header="851" w:footer="992" w:gutter="0"/>
          <w:pgNumType w:fmt="numberInDash"/>
          <w:cols w:space="720" w:num="1"/>
          <w:docGrid w:type="lines" w:linePitch="312" w:charSpace="0"/>
        </w:sectPr>
      </w:pPr>
      <w:r>
        <w:rPr>
          <w:rFonts w:hint="eastAsia" w:ascii="仿宋_GB2312" w:hAnsi="仿宋_GB2312" w:eastAsia="仿宋_GB2312" w:cs="仿宋_GB2312"/>
          <w:spacing w:val="0"/>
          <w:sz w:val="32"/>
          <w:szCs w:val="32"/>
        </w:rPr>
        <w:t>以法律法规、现行国家和行业规范标准以及CBDA标准为准。</w:t>
      </w:r>
    </w:p>
    <w:bookmarkEnd w:id="36"/>
    <w:p w14:paraId="24CFF310">
      <w:pPr>
        <w:keepNext w:val="0"/>
        <w:keepLines w:val="0"/>
        <w:pageBreakBefore w:val="0"/>
        <w:widowControl w:val="0"/>
        <w:numPr>
          <w:ilvl w:val="0"/>
          <w:numId w:val="0"/>
        </w:numPr>
        <w:kinsoku/>
        <w:wordWrap/>
        <w:overflowPunct/>
        <w:topLinePunct w:val="0"/>
        <w:bidi w:val="0"/>
        <w:adjustRightInd w:val="0"/>
        <w:snapToGrid/>
        <w:spacing w:line="240" w:lineRule="auto"/>
        <w:jc w:val="center"/>
        <w:textAlignment w:val="auto"/>
        <w:outlineLvl w:val="1"/>
        <w:rPr>
          <w:rFonts w:hint="eastAsia" w:ascii="黑体" w:hAnsi="黑体" w:eastAsia="黑体" w:cs="黑体"/>
          <w:bCs/>
          <w:spacing w:val="0"/>
          <w:kern w:val="2"/>
          <w:sz w:val="32"/>
          <w:szCs w:val="32"/>
          <w:lang w:val="en-US" w:eastAsia="zh-CN" w:bidi="ar-SA"/>
        </w:rPr>
      </w:pPr>
      <w:r>
        <w:rPr>
          <w:rFonts w:hint="eastAsia" w:ascii="黑体" w:hAnsi="黑体" w:eastAsia="黑体" w:cs="黑体"/>
          <w:bCs/>
          <w:spacing w:val="0"/>
          <w:kern w:val="2"/>
          <w:sz w:val="32"/>
          <w:szCs w:val="32"/>
          <w:lang w:val="en-US" w:eastAsia="zh-CN" w:bidi="ar-SA"/>
        </w:rPr>
        <w:t>三、工程复查评分标准——建筑幕墙设计</w:t>
      </w:r>
    </w:p>
    <w:tbl>
      <w:tblPr>
        <w:tblStyle w:val="25"/>
        <w:tblW w:w="14340"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498"/>
        <w:gridCol w:w="4907"/>
        <w:gridCol w:w="2250"/>
        <w:gridCol w:w="1572"/>
        <w:gridCol w:w="851"/>
        <w:gridCol w:w="2392"/>
      </w:tblGrid>
      <w:tr w14:paraId="3A114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870" w:type="dxa"/>
            <w:tcBorders>
              <w:top w:val="single" w:color="auto" w:sz="4" w:space="0"/>
              <w:left w:val="single" w:color="auto" w:sz="4" w:space="0"/>
              <w:bottom w:val="single" w:color="auto" w:sz="4" w:space="0"/>
              <w:right w:val="single" w:color="auto" w:sz="4" w:space="0"/>
            </w:tcBorders>
            <w:noWrap w:val="0"/>
            <w:vAlign w:val="center"/>
          </w:tcPr>
          <w:p w14:paraId="531359B8">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序号</w:t>
            </w:r>
          </w:p>
        </w:tc>
        <w:tc>
          <w:tcPr>
            <w:tcW w:w="1498" w:type="dxa"/>
            <w:tcBorders>
              <w:top w:val="single" w:color="auto" w:sz="4" w:space="0"/>
              <w:left w:val="single" w:color="auto" w:sz="4" w:space="0"/>
              <w:bottom w:val="single" w:color="auto" w:sz="4" w:space="0"/>
              <w:right w:val="single" w:color="auto" w:sz="4" w:space="0"/>
            </w:tcBorders>
            <w:noWrap w:val="0"/>
            <w:vAlign w:val="center"/>
          </w:tcPr>
          <w:p w14:paraId="1A67279B">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复查项目</w:t>
            </w:r>
          </w:p>
        </w:tc>
        <w:tc>
          <w:tcPr>
            <w:tcW w:w="4907" w:type="dxa"/>
            <w:tcBorders>
              <w:top w:val="single" w:color="auto" w:sz="4" w:space="0"/>
              <w:left w:val="single" w:color="auto" w:sz="4" w:space="0"/>
              <w:bottom w:val="single" w:color="auto" w:sz="4" w:space="0"/>
              <w:right w:val="single" w:color="auto" w:sz="4" w:space="0"/>
            </w:tcBorders>
            <w:noWrap w:val="0"/>
            <w:vAlign w:val="center"/>
          </w:tcPr>
          <w:p w14:paraId="67C638DA">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复查内容</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3C4AACE7">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评分标准</w:t>
            </w:r>
          </w:p>
        </w:tc>
        <w:tc>
          <w:tcPr>
            <w:tcW w:w="1572" w:type="dxa"/>
            <w:tcBorders>
              <w:top w:val="single" w:color="auto" w:sz="4" w:space="0"/>
              <w:left w:val="single" w:color="auto" w:sz="4" w:space="0"/>
              <w:bottom w:val="single" w:color="auto" w:sz="4" w:space="0"/>
              <w:right w:val="single" w:color="auto" w:sz="4" w:space="0"/>
            </w:tcBorders>
            <w:noWrap w:val="0"/>
            <w:vAlign w:val="center"/>
          </w:tcPr>
          <w:p w14:paraId="59C8D643">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419B6CB0">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分值</w:t>
            </w:r>
          </w:p>
        </w:tc>
        <w:tc>
          <w:tcPr>
            <w:tcW w:w="2392" w:type="dxa"/>
            <w:tcBorders>
              <w:top w:val="single" w:color="auto" w:sz="4" w:space="0"/>
              <w:left w:val="single" w:color="auto" w:sz="4" w:space="0"/>
              <w:bottom w:val="single" w:color="auto" w:sz="4" w:space="0"/>
              <w:right w:val="single" w:color="auto" w:sz="4" w:space="0"/>
            </w:tcBorders>
            <w:noWrap w:val="0"/>
            <w:vAlign w:val="center"/>
          </w:tcPr>
          <w:p w14:paraId="1CC88BCF">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复查方法</w:t>
            </w:r>
          </w:p>
        </w:tc>
      </w:tr>
      <w:tr w14:paraId="548FB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6" w:hRule="atLeast"/>
        </w:trPr>
        <w:tc>
          <w:tcPr>
            <w:tcW w:w="870" w:type="dxa"/>
            <w:tcBorders>
              <w:top w:val="single" w:color="auto" w:sz="4" w:space="0"/>
              <w:left w:val="single" w:color="auto" w:sz="4" w:space="0"/>
              <w:right w:val="single" w:color="auto" w:sz="4" w:space="0"/>
            </w:tcBorders>
            <w:noWrap w:val="0"/>
            <w:vAlign w:val="center"/>
          </w:tcPr>
          <w:p w14:paraId="5A76368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w:t>
            </w:r>
          </w:p>
        </w:tc>
        <w:tc>
          <w:tcPr>
            <w:tcW w:w="1498" w:type="dxa"/>
            <w:tcBorders>
              <w:top w:val="single" w:color="auto" w:sz="4" w:space="0"/>
              <w:left w:val="single" w:color="auto" w:sz="4" w:space="0"/>
              <w:right w:val="single" w:color="auto" w:sz="4" w:space="0"/>
            </w:tcBorders>
            <w:noWrap w:val="0"/>
            <w:vAlign w:val="center"/>
          </w:tcPr>
          <w:p w14:paraId="2FD2425C">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资料</w:t>
            </w:r>
          </w:p>
        </w:tc>
        <w:tc>
          <w:tcPr>
            <w:tcW w:w="4907" w:type="dxa"/>
            <w:tcBorders>
              <w:top w:val="single" w:color="auto" w:sz="4" w:space="0"/>
              <w:left w:val="single" w:color="auto" w:sz="4" w:space="0"/>
              <w:bottom w:val="single" w:color="auto" w:sz="4" w:space="0"/>
              <w:right w:val="single" w:color="auto" w:sz="4" w:space="0"/>
            </w:tcBorders>
            <w:noWrap w:val="0"/>
            <w:vAlign w:val="center"/>
          </w:tcPr>
          <w:p w14:paraId="0F01E73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szCs w:val="21"/>
              </w:rPr>
            </w:pPr>
            <w:r>
              <w:rPr>
                <w:rFonts w:hint="eastAsia" w:ascii="方正仿宋_GB2312" w:hAnsi="方正仿宋_GB2312" w:eastAsia="方正仿宋_GB2312" w:cs="方正仿宋_GB2312"/>
                <w:b/>
                <w:bCs/>
                <w:spacing w:val="0"/>
                <w:szCs w:val="21"/>
              </w:rPr>
              <w:t>必要文件：</w:t>
            </w:r>
          </w:p>
          <w:p w14:paraId="0043846B">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1.单位营业执照、建筑幕墙工程设计专项资质证书（此两项上一年度参评的单位可提供在有效期内的加盖本单位公章的复印件）；</w:t>
            </w:r>
          </w:p>
          <w:p w14:paraId="3F5964BD">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2.主要设计人员执业资格证书或技术职称证书；</w:t>
            </w:r>
          </w:p>
          <w:p w14:paraId="7F814832">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3.幕墙工程设计合同或设计施工一体化工程合同（含设计范围、设计负责人等）；</w:t>
            </w:r>
          </w:p>
          <w:p w14:paraId="47799829">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4.幕墙工程竣工验收资料（签章必须齐全）</w:t>
            </w:r>
          </w:p>
          <w:p w14:paraId="288D0651">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5.消防验收资料</w:t>
            </w:r>
          </w:p>
          <w:p w14:paraId="3721D3AD">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6.工程竣工验收合格备案证书。</w:t>
            </w:r>
          </w:p>
        </w:tc>
        <w:tc>
          <w:tcPr>
            <w:tcW w:w="2250" w:type="dxa"/>
            <w:tcBorders>
              <w:top w:val="single" w:color="auto" w:sz="4" w:space="0"/>
              <w:left w:val="single" w:color="auto" w:sz="4" w:space="0"/>
              <w:right w:val="single" w:color="auto" w:sz="4" w:space="0"/>
            </w:tcBorders>
            <w:noWrap w:val="0"/>
            <w:vAlign w:val="center"/>
          </w:tcPr>
          <w:p w14:paraId="7082891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必要文件有一项不合格或不符合要求者不予评审。</w:t>
            </w:r>
          </w:p>
        </w:tc>
        <w:tc>
          <w:tcPr>
            <w:tcW w:w="1572" w:type="dxa"/>
            <w:tcBorders>
              <w:top w:val="single" w:color="auto" w:sz="4" w:space="0"/>
              <w:left w:val="single" w:color="auto" w:sz="4" w:space="0"/>
              <w:right w:val="single" w:color="auto" w:sz="4" w:space="0"/>
            </w:tcBorders>
            <w:noWrap w:val="0"/>
            <w:vAlign w:val="center"/>
          </w:tcPr>
          <w:p w14:paraId="0C785D5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必要文件应为原件或可网查的电子文件打印件并加盖申报单位鲜章。</w:t>
            </w:r>
          </w:p>
        </w:tc>
        <w:tc>
          <w:tcPr>
            <w:tcW w:w="851" w:type="dxa"/>
            <w:tcBorders>
              <w:top w:val="single" w:color="auto" w:sz="4" w:space="0"/>
              <w:left w:val="single" w:color="auto" w:sz="4" w:space="0"/>
              <w:right w:val="single" w:color="auto" w:sz="4" w:space="0"/>
            </w:tcBorders>
            <w:noWrap w:val="0"/>
            <w:vAlign w:val="center"/>
          </w:tcPr>
          <w:p w14:paraId="079E026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20分</w:t>
            </w:r>
          </w:p>
        </w:tc>
        <w:tc>
          <w:tcPr>
            <w:tcW w:w="2392" w:type="dxa"/>
            <w:tcBorders>
              <w:top w:val="single" w:color="auto" w:sz="4" w:space="0"/>
              <w:left w:val="single" w:color="auto" w:sz="4" w:space="0"/>
              <w:right w:val="single" w:color="auto" w:sz="4" w:space="0"/>
            </w:tcBorders>
            <w:noWrap w:val="0"/>
            <w:vAlign w:val="center"/>
          </w:tcPr>
          <w:p w14:paraId="1406065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查：相关文件资料原件或电子证件（提供网查链接）；</w:t>
            </w:r>
          </w:p>
          <w:p w14:paraId="0F0B73E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原件已存入城建档案馆或城建档案管理机构的可提供由档案馆或城建档案管理机构出具的加盖出具单位和申报单位鲜章并注明“原件存于XXX，复印件与原件相同”字样的复印件。</w:t>
            </w:r>
          </w:p>
        </w:tc>
      </w:tr>
      <w:tr w14:paraId="4A0DB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4" w:hRule="atLeast"/>
        </w:trPr>
        <w:tc>
          <w:tcPr>
            <w:tcW w:w="870" w:type="dxa"/>
            <w:tcBorders>
              <w:left w:val="single" w:color="auto" w:sz="4" w:space="0"/>
              <w:bottom w:val="single" w:color="auto" w:sz="4" w:space="0"/>
              <w:right w:val="single" w:color="auto" w:sz="4" w:space="0"/>
            </w:tcBorders>
            <w:noWrap w:val="0"/>
            <w:vAlign w:val="center"/>
          </w:tcPr>
          <w:p w14:paraId="04ACA53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w:t>
            </w:r>
          </w:p>
        </w:tc>
        <w:tc>
          <w:tcPr>
            <w:tcW w:w="1498" w:type="dxa"/>
            <w:tcBorders>
              <w:left w:val="single" w:color="auto" w:sz="4" w:space="0"/>
              <w:right w:val="single" w:color="auto" w:sz="4" w:space="0"/>
            </w:tcBorders>
            <w:noWrap w:val="0"/>
            <w:vAlign w:val="center"/>
          </w:tcPr>
          <w:p w14:paraId="16BD890B">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设计说明</w:t>
            </w:r>
          </w:p>
        </w:tc>
        <w:tc>
          <w:tcPr>
            <w:tcW w:w="4907" w:type="dxa"/>
            <w:tcBorders>
              <w:top w:val="single" w:color="auto" w:sz="4" w:space="0"/>
              <w:left w:val="single" w:color="auto" w:sz="4" w:space="0"/>
              <w:bottom w:val="single" w:color="auto" w:sz="4" w:space="0"/>
              <w:right w:val="single" w:color="auto" w:sz="4" w:space="0"/>
            </w:tcBorders>
            <w:noWrap w:val="0"/>
            <w:vAlign w:val="center"/>
          </w:tcPr>
          <w:p w14:paraId="38C70C9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设计说明应包括工程概况、设计范围、设计依据、设计参数、幕墙主要性能指标、主要幕墙系统介绍、幕墙工程重难点分析、幕墙材料技术要求、功能性设计要求（如防排水、防火、防雷等）、节能专项说明、主要加工制作和安装技术要求等；</w:t>
            </w:r>
          </w:p>
          <w:p w14:paraId="04B8FB6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2.明确外露钢材、钢结构表面及焊接部位的防腐技术要求；</w:t>
            </w:r>
          </w:p>
          <w:p w14:paraId="4F9ADA3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3.提供预埋件纠偏方案及漏埋的后置埋件方案，包括后置锚栓的种类、材质、规格、埋置深度等；</w:t>
            </w:r>
          </w:p>
          <w:p w14:paraId="716FE59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4.采用石材背栓、后置锚栓的，应明确背（锚）栓的拉拔力设计值和乘以2倍之后的拉拔力试验值；</w:t>
            </w:r>
          </w:p>
          <w:p w14:paraId="3154749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5.采用了新材料、新技术、新工艺且无相关标准规范时，应提供相应的证明资料（论证报告、鉴定报告等）；</w:t>
            </w:r>
          </w:p>
          <w:p w14:paraId="1938D78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6.涉及到危大工程的重点部位和环节应进行说明；</w:t>
            </w:r>
          </w:p>
          <w:p w14:paraId="510C9AC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7.幕墙的使用维护及保养。</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646446C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1.设计说明内容每缺一项扣1-2分；</w:t>
            </w:r>
          </w:p>
          <w:p w14:paraId="2EA017D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2.未注明背（锚）栓拉拔力设计值的，每项扣3分；</w:t>
            </w:r>
          </w:p>
          <w:p w14:paraId="47AD190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3.采用新材料、新技术、新工艺无证明资料的，扣1-5分。</w:t>
            </w:r>
          </w:p>
          <w:p w14:paraId="69B06A2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4.存在其他不符合要求或不合规情况，扣0.5-2分。</w:t>
            </w:r>
          </w:p>
        </w:tc>
        <w:tc>
          <w:tcPr>
            <w:tcW w:w="1572" w:type="dxa"/>
            <w:tcBorders>
              <w:left w:val="single" w:color="auto" w:sz="4" w:space="0"/>
              <w:right w:val="single" w:color="auto" w:sz="4" w:space="0"/>
            </w:tcBorders>
            <w:noWrap w:val="0"/>
            <w:vAlign w:val="center"/>
          </w:tcPr>
          <w:p w14:paraId="1C4FC67B">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设计说明可单独成册，也可与竣工图纸共同装订成册。</w:t>
            </w:r>
          </w:p>
        </w:tc>
        <w:tc>
          <w:tcPr>
            <w:tcW w:w="851" w:type="dxa"/>
            <w:tcBorders>
              <w:left w:val="single" w:color="auto" w:sz="4" w:space="0"/>
              <w:right w:val="single" w:color="auto" w:sz="4" w:space="0"/>
            </w:tcBorders>
            <w:noWrap w:val="0"/>
            <w:vAlign w:val="center"/>
          </w:tcPr>
          <w:p w14:paraId="6FCF884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5分</w:t>
            </w:r>
          </w:p>
        </w:tc>
        <w:tc>
          <w:tcPr>
            <w:tcW w:w="2392" w:type="dxa"/>
            <w:tcBorders>
              <w:top w:val="single" w:color="auto" w:sz="4" w:space="0"/>
              <w:left w:val="single" w:color="auto" w:sz="4" w:space="0"/>
              <w:bottom w:val="single" w:color="auto" w:sz="4" w:space="0"/>
              <w:right w:val="single" w:color="auto" w:sz="4" w:space="0"/>
            </w:tcBorders>
            <w:noWrap w:val="0"/>
            <w:vAlign w:val="center"/>
          </w:tcPr>
          <w:p w14:paraId="647834B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按复查内容逐项检查。</w:t>
            </w:r>
          </w:p>
        </w:tc>
      </w:tr>
      <w:tr w14:paraId="54EF4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3" w:hRule="atLeast"/>
        </w:trPr>
        <w:tc>
          <w:tcPr>
            <w:tcW w:w="870" w:type="dxa"/>
            <w:tcBorders>
              <w:left w:val="single" w:color="auto" w:sz="4" w:space="0"/>
              <w:bottom w:val="single" w:color="auto" w:sz="4" w:space="0"/>
              <w:right w:val="single" w:color="auto" w:sz="4" w:space="0"/>
            </w:tcBorders>
            <w:noWrap w:val="0"/>
            <w:vAlign w:val="center"/>
          </w:tcPr>
          <w:p w14:paraId="7BDA354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w:t>
            </w:r>
          </w:p>
        </w:tc>
        <w:tc>
          <w:tcPr>
            <w:tcW w:w="1498" w:type="dxa"/>
            <w:tcBorders>
              <w:left w:val="single" w:color="auto" w:sz="4" w:space="0"/>
              <w:right w:val="single" w:color="auto" w:sz="4" w:space="0"/>
            </w:tcBorders>
            <w:noWrap w:val="0"/>
            <w:vAlign w:val="center"/>
          </w:tcPr>
          <w:p w14:paraId="32B0B254">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施工图</w:t>
            </w:r>
          </w:p>
          <w:p w14:paraId="0383416B">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 w:val="18"/>
                <w:szCs w:val="18"/>
              </w:rPr>
            </w:pPr>
            <w:r>
              <w:rPr>
                <w:rFonts w:hint="eastAsia" w:ascii="方正仿宋_GB2312" w:hAnsi="方正仿宋_GB2312" w:eastAsia="方正仿宋_GB2312" w:cs="方正仿宋_GB2312"/>
                <w:spacing w:val="0"/>
                <w:sz w:val="18"/>
                <w:szCs w:val="18"/>
              </w:rPr>
              <w:t>（或竣工图）</w:t>
            </w:r>
          </w:p>
        </w:tc>
        <w:tc>
          <w:tcPr>
            <w:tcW w:w="4907" w:type="dxa"/>
            <w:tcBorders>
              <w:top w:val="single" w:color="auto" w:sz="4" w:space="0"/>
              <w:left w:val="single" w:color="auto" w:sz="4" w:space="0"/>
              <w:bottom w:val="single" w:color="auto" w:sz="4" w:space="0"/>
              <w:right w:val="single" w:color="auto" w:sz="4" w:space="0"/>
            </w:tcBorders>
            <w:noWrap w:val="0"/>
            <w:vAlign w:val="center"/>
          </w:tcPr>
          <w:p w14:paraId="7641A75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1.施工图（或竣工图）应符合法律、法规及相关规范、标准的要求，并应符合住建部建标[2015]38号文件、中装协[2016]89号文件等；</w:t>
            </w:r>
          </w:p>
          <w:p w14:paraId="3C23A2E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2.应提供幕墙图纸会审的证明资料；图纸签字手续应齐全；</w:t>
            </w:r>
          </w:p>
          <w:p w14:paraId="4AC29E4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图纸内容应包括：图纸目录、立面图、平面图、剖面图、索引图、大样图、节点图、型材截面图、预埋件工艺及布置图、必要的加工工艺图、后置埋件纠偏图、大跨度支承结构规格及布置图（如需）、功能性图纸（防水、防火、防雷等）等；</w:t>
            </w:r>
          </w:p>
          <w:p w14:paraId="7A99221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4.立面或平面图应标明幕墙大面区和墙角区；</w:t>
            </w:r>
          </w:p>
          <w:p w14:paraId="01495AE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节点图应包含幕墙系统构造、连接详图及与主体结构连接与封堵处理详图、开启窗（含通风窗、排烟窗、救援窗、防火窗）或通风构造详图，防火、防雷构造详图、变形缝详图，不同幕墙的接口、转角详图、附属部件连接详图等；</w:t>
            </w:r>
          </w:p>
          <w:p w14:paraId="7F5C0AD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6.中空玻璃采用硅酮结构密封胶进行结构粘接受力时，硅酮结构密封胶至少应有一对边与中空玻璃二道硅酮结构密封胶重合，并应标明硅酮结构密封胶的宽度和厚度，包括中空玻璃硅酮结构密封胶宽度等；</w:t>
            </w:r>
          </w:p>
          <w:p w14:paraId="2443FEF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7.大跨度（悬挑）幕墙支承结构应有完整设计图纸，包括与主体结构位置关系、连接设计、焊接要求等；</w:t>
            </w:r>
          </w:p>
          <w:p w14:paraId="1DAFE97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8.石材幕墙采用单排石材吊顶时，应采取有效的防石材坠落措施，严禁大面积采用倒挂石材吊顶；石材幕墙不得采用T形挂件或背挑件；石材装饰线条应采取可靠的机械连接措施；</w:t>
            </w:r>
          </w:p>
          <w:p w14:paraId="5B98EB0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9.外倾斜、水平倒挂的脆性材料应有防脱落、防坠落措施；</w:t>
            </w:r>
          </w:p>
          <w:p w14:paraId="553BD57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10.开启窗面积、玻璃最大允许面积、幕墙防火层设计等应满足相关规范要求；</w:t>
            </w:r>
          </w:p>
          <w:p w14:paraId="0A116A12">
            <w:pPr>
              <w:pStyle w:val="7"/>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rPr>
            </w:pPr>
            <w:r>
              <w:rPr>
                <w:rFonts w:hint="eastAsia" w:ascii="方正仿宋_GB2312" w:hAnsi="方正仿宋_GB2312" w:eastAsia="方正仿宋_GB2312" w:cs="方正仿宋_GB2312"/>
                <w:spacing w:val="0"/>
              </w:rPr>
              <w:t>11.幕墙外开窗的开启扇应采取防脱落措施”</w:t>
            </w:r>
          </w:p>
          <w:p w14:paraId="36729563">
            <w:pPr>
              <w:pStyle w:val="7"/>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rPr>
              <w:t>12.玻璃幕墙的玻璃面板应采用安全玻璃，斜幕墙的玻璃面板应采用夹层玻璃”</w:t>
            </w:r>
          </w:p>
          <w:p w14:paraId="4468809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13.出屋面部分的幕墙与主体结构交汇处，室内外交汇处幕墙等位置的防水设计；</w:t>
            </w:r>
          </w:p>
          <w:p w14:paraId="766DDEC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14.幕墙立面外装饰条或装饰造型应与幕墙龙骨或主体结构可靠连接；</w:t>
            </w:r>
          </w:p>
          <w:p w14:paraId="6829623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15.提供外开启窗的开启面积、五金件配置图、布置图及相关技术要求等；</w:t>
            </w:r>
          </w:p>
          <w:p w14:paraId="2D0E837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16.应按规范要求提供消防救援窗的设计。</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6EF72422">
            <w:pPr>
              <w:keepNext w:val="0"/>
              <w:keepLines w:val="0"/>
              <w:pageBreakBefore w:val="0"/>
              <w:widowControl w:val="0"/>
              <w:kinsoku/>
              <w:wordWrap/>
              <w:overflowPunct/>
              <w:topLinePunct w:val="0"/>
              <w:bidi w:val="0"/>
              <w:snapToGrid/>
              <w:spacing w:line="240" w:lineRule="auto"/>
              <w:ind w:left="283" w:hanging="283" w:hangingChars="13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1.图纸缺项的，视具体情况每项扣1-5分；</w:t>
            </w:r>
          </w:p>
          <w:p w14:paraId="4D8CCF18">
            <w:pPr>
              <w:keepNext w:val="0"/>
              <w:keepLines w:val="0"/>
              <w:pageBreakBefore w:val="0"/>
              <w:widowControl w:val="0"/>
              <w:kinsoku/>
              <w:wordWrap/>
              <w:overflowPunct/>
              <w:topLinePunct w:val="0"/>
              <w:bidi w:val="0"/>
              <w:snapToGrid/>
              <w:spacing w:line="240" w:lineRule="auto"/>
              <w:ind w:left="283" w:hanging="283" w:hangingChars="13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2.幕墙系统及支承结构等设计存在安全隐患的，视其严重性扣10-30分；</w:t>
            </w:r>
          </w:p>
          <w:p w14:paraId="72D1280D">
            <w:pPr>
              <w:keepNext w:val="0"/>
              <w:keepLines w:val="0"/>
              <w:pageBreakBefore w:val="0"/>
              <w:widowControl w:val="0"/>
              <w:kinsoku/>
              <w:wordWrap/>
              <w:overflowPunct/>
              <w:topLinePunct w:val="0"/>
              <w:bidi w:val="0"/>
              <w:snapToGrid/>
              <w:spacing w:line="240" w:lineRule="auto"/>
              <w:ind w:left="283" w:hanging="283" w:hangingChars="13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3.缺幕墙系统节点的，每项扣3-5分；</w:t>
            </w:r>
          </w:p>
          <w:p w14:paraId="12B9DD63">
            <w:pPr>
              <w:keepNext w:val="0"/>
              <w:keepLines w:val="0"/>
              <w:pageBreakBefore w:val="0"/>
              <w:widowControl w:val="0"/>
              <w:kinsoku/>
              <w:wordWrap/>
              <w:overflowPunct/>
              <w:topLinePunct w:val="0"/>
              <w:bidi w:val="0"/>
              <w:snapToGrid/>
              <w:spacing w:line="240" w:lineRule="auto"/>
              <w:ind w:left="283" w:hanging="283" w:hangingChars="13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4.其它不符合要求或不合规情况每项扣1-3分。</w:t>
            </w:r>
          </w:p>
        </w:tc>
        <w:tc>
          <w:tcPr>
            <w:tcW w:w="1572" w:type="dxa"/>
            <w:tcBorders>
              <w:left w:val="single" w:color="auto" w:sz="4" w:space="0"/>
              <w:right w:val="single" w:color="auto" w:sz="4" w:space="0"/>
            </w:tcBorders>
            <w:noWrap w:val="0"/>
            <w:vAlign w:val="center"/>
          </w:tcPr>
          <w:p w14:paraId="4A53B09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竣工图纸应盖设计单位幕墙专项出图章并盖施工单位的竣工图章，且竣工图框应与幕墙设计单位一致。</w:t>
            </w:r>
          </w:p>
        </w:tc>
        <w:tc>
          <w:tcPr>
            <w:tcW w:w="851" w:type="dxa"/>
            <w:tcBorders>
              <w:left w:val="single" w:color="auto" w:sz="4" w:space="0"/>
              <w:right w:val="single" w:color="auto" w:sz="4" w:space="0"/>
            </w:tcBorders>
            <w:noWrap w:val="0"/>
            <w:vAlign w:val="center"/>
          </w:tcPr>
          <w:p w14:paraId="0C7E262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30分</w:t>
            </w:r>
          </w:p>
        </w:tc>
        <w:tc>
          <w:tcPr>
            <w:tcW w:w="2392" w:type="dxa"/>
            <w:tcBorders>
              <w:top w:val="single" w:color="auto" w:sz="4" w:space="0"/>
              <w:left w:val="single" w:color="auto" w:sz="4" w:space="0"/>
              <w:bottom w:val="single" w:color="auto" w:sz="4" w:space="0"/>
              <w:right w:val="single" w:color="auto" w:sz="4" w:space="0"/>
            </w:tcBorders>
            <w:noWrap w:val="0"/>
            <w:vAlign w:val="center"/>
          </w:tcPr>
          <w:p w14:paraId="2809692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审查图纸与工程实体是否相符。</w:t>
            </w:r>
          </w:p>
        </w:tc>
      </w:tr>
      <w:tr w14:paraId="60E28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trPr>
        <w:tc>
          <w:tcPr>
            <w:tcW w:w="870" w:type="dxa"/>
            <w:tcBorders>
              <w:left w:val="single" w:color="auto" w:sz="4" w:space="0"/>
              <w:bottom w:val="single" w:color="auto" w:sz="4" w:space="0"/>
              <w:right w:val="single" w:color="auto" w:sz="4" w:space="0"/>
            </w:tcBorders>
            <w:noWrap w:val="0"/>
            <w:vAlign w:val="center"/>
          </w:tcPr>
          <w:p w14:paraId="05D39F8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w:t>
            </w:r>
          </w:p>
        </w:tc>
        <w:tc>
          <w:tcPr>
            <w:tcW w:w="1498" w:type="dxa"/>
            <w:tcBorders>
              <w:left w:val="single" w:color="auto" w:sz="4" w:space="0"/>
              <w:right w:val="single" w:color="auto" w:sz="4" w:space="0"/>
            </w:tcBorders>
            <w:noWrap w:val="0"/>
            <w:vAlign w:val="center"/>
          </w:tcPr>
          <w:p w14:paraId="2592E58B">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热工计算书</w:t>
            </w:r>
          </w:p>
        </w:tc>
        <w:tc>
          <w:tcPr>
            <w:tcW w:w="4907" w:type="dxa"/>
            <w:tcBorders>
              <w:top w:val="single" w:color="auto" w:sz="4" w:space="0"/>
              <w:left w:val="single" w:color="auto" w:sz="4" w:space="0"/>
              <w:bottom w:val="single" w:color="auto" w:sz="4" w:space="0"/>
              <w:right w:val="single" w:color="auto" w:sz="4" w:space="0"/>
            </w:tcBorders>
            <w:noWrap w:val="0"/>
            <w:vAlign w:val="center"/>
          </w:tcPr>
          <w:p w14:paraId="5AD0C83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1.热工计算书审批手续应齐全；</w:t>
            </w:r>
          </w:p>
          <w:p w14:paraId="5C8F8AC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2.工程所有的幕墙类型（包括采光顶）有保温隔热要求的均应提供热工计算；</w:t>
            </w:r>
          </w:p>
          <w:p w14:paraId="6AFAF17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3.各类型幕墙的热工计算应齐全完整，并有明确结论且满足建筑节能设计指标要求；</w:t>
            </w:r>
          </w:p>
          <w:p w14:paraId="4900E0D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4.正确选择热工计算单元和计算参数（如气候分区、朝向、窗墙比、体型系数等）；</w:t>
            </w:r>
          </w:p>
          <w:p w14:paraId="4A8F2A7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幕墙热工计算内容应包括透光部分幕墙和采光顶的传热系数、太阳得热系数等，以及非透光部分幕墙的传热系数计算等，其中非透光部分幕墙应包括玻璃幕墙非透光部分和非透光幕墙类型（石材、铝板、人造板等）；</w:t>
            </w:r>
          </w:p>
          <w:p w14:paraId="1E89E71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6.热工计算应按节能标准要求进行汇总，且计算结果应满足现行相关标准规范及建筑节能设计的要求；</w:t>
            </w:r>
          </w:p>
          <w:p w14:paraId="203C496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7.寒冷和严寒地区应进行结露计算；</w:t>
            </w:r>
          </w:p>
          <w:p w14:paraId="0E3D0FA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8.应提供建筑设计单位出具的建筑节能报告或建筑施工图设计说明中的节能专篇，明确各类型幕墙应当达到的热工性能要求。</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1798F95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p w14:paraId="3DBE90D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1.无热工计算书扣10分；</w:t>
            </w:r>
          </w:p>
          <w:p w14:paraId="4D45C33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2.缺主要幕墙类型的热工计算书的每项扣1-3分；</w:t>
            </w:r>
          </w:p>
          <w:p w14:paraId="0D05B88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3.计算出现严重错误的每项扣5分；</w:t>
            </w:r>
          </w:p>
          <w:p w14:paraId="417DE7B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4.其它不符合要求或不合规情况的扣1-3分。</w:t>
            </w:r>
          </w:p>
        </w:tc>
        <w:tc>
          <w:tcPr>
            <w:tcW w:w="1572" w:type="dxa"/>
            <w:tcBorders>
              <w:left w:val="single" w:color="auto" w:sz="4" w:space="0"/>
              <w:right w:val="single" w:color="auto" w:sz="4" w:space="0"/>
            </w:tcBorders>
            <w:noWrap w:val="0"/>
            <w:vAlign w:val="center"/>
          </w:tcPr>
          <w:p w14:paraId="6FFF05D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p w14:paraId="23009C5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不得采用建筑设计院出具的建筑节能设计计算报告代替幕墙热工计算书。</w:t>
            </w:r>
          </w:p>
          <w:p w14:paraId="18940DF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tc>
        <w:tc>
          <w:tcPr>
            <w:tcW w:w="851" w:type="dxa"/>
            <w:tcBorders>
              <w:left w:val="single" w:color="auto" w:sz="4" w:space="0"/>
              <w:right w:val="single" w:color="auto" w:sz="4" w:space="0"/>
            </w:tcBorders>
            <w:noWrap w:val="0"/>
            <w:vAlign w:val="center"/>
          </w:tcPr>
          <w:p w14:paraId="28CC27A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10分</w:t>
            </w:r>
          </w:p>
        </w:tc>
        <w:tc>
          <w:tcPr>
            <w:tcW w:w="2392" w:type="dxa"/>
            <w:tcBorders>
              <w:top w:val="single" w:color="auto" w:sz="4" w:space="0"/>
              <w:left w:val="single" w:color="auto" w:sz="4" w:space="0"/>
              <w:bottom w:val="single" w:color="auto" w:sz="4" w:space="0"/>
              <w:right w:val="single" w:color="auto" w:sz="4" w:space="0"/>
            </w:tcBorders>
            <w:noWrap w:val="0"/>
            <w:vAlign w:val="center"/>
          </w:tcPr>
          <w:p w14:paraId="1FFDBA2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p w14:paraId="3732D59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根据建筑设计院的建筑节能报告复核幕墙热工计算书是否满足节能要求。</w:t>
            </w:r>
          </w:p>
        </w:tc>
      </w:tr>
      <w:tr w14:paraId="3EFAB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0" w:type="dxa"/>
            <w:tcBorders>
              <w:left w:val="single" w:color="auto" w:sz="4" w:space="0"/>
              <w:bottom w:val="single" w:color="auto" w:sz="4" w:space="0"/>
              <w:right w:val="single" w:color="auto" w:sz="4" w:space="0"/>
            </w:tcBorders>
            <w:noWrap w:val="0"/>
            <w:vAlign w:val="center"/>
          </w:tcPr>
          <w:p w14:paraId="5DC68C0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w:t>
            </w:r>
          </w:p>
        </w:tc>
        <w:tc>
          <w:tcPr>
            <w:tcW w:w="1498" w:type="dxa"/>
            <w:tcBorders>
              <w:left w:val="single" w:color="auto" w:sz="4" w:space="0"/>
              <w:right w:val="single" w:color="auto" w:sz="4" w:space="0"/>
            </w:tcBorders>
            <w:noWrap w:val="0"/>
            <w:vAlign w:val="center"/>
          </w:tcPr>
          <w:p w14:paraId="1BA5E44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结构计算书</w:t>
            </w:r>
          </w:p>
        </w:tc>
        <w:tc>
          <w:tcPr>
            <w:tcW w:w="4907" w:type="dxa"/>
            <w:tcBorders>
              <w:top w:val="single" w:color="auto" w:sz="4" w:space="0"/>
              <w:left w:val="single" w:color="auto" w:sz="4" w:space="0"/>
              <w:bottom w:val="single" w:color="auto" w:sz="4" w:space="0"/>
              <w:right w:val="single" w:color="auto" w:sz="4" w:space="0"/>
            </w:tcBorders>
            <w:noWrap w:val="0"/>
            <w:vAlign w:val="center"/>
          </w:tcPr>
          <w:p w14:paraId="2527D4F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1.结构计算书审批手续应齐全；</w:t>
            </w:r>
          </w:p>
          <w:p w14:paraId="40ECB10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2.工程所有的幕墙类型和系统（包括采光顶、雨蓬、外挂遮阳及装饰构件等）均应提供结构计算书；</w:t>
            </w:r>
          </w:p>
          <w:p w14:paraId="0AEC892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结构计算内容应齐全完整，合理选择计算参数，内容应包括但不限于面板、龙骨及支承结构的强度和挠度计算，结构胶宽度、厚度（含中空玻璃间层结构胶）计算，连接（含幕墙构件间及与主体结构间连接等）计算，预埋件及后置埋件计算，焊缝计算，局部构件及位置的结构计算等，并应附上相关的配图；</w:t>
            </w:r>
          </w:p>
          <w:p w14:paraId="740A78F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4.大跨度（悬挑）结构等受力较大的幕墙支承结构以及与主体连接等，均应进行结构计算，包括拉索（杆）幕墙、雨篷、跨层幕墙、屋顶悬挑幕墙、采光顶等；</w:t>
            </w:r>
          </w:p>
          <w:p w14:paraId="02CE4B43">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5.有风洞试验报告的，风荷载标准值应按风洞试验和风荷载计算值进行对比后按JGJ/T338等相关标准进行取值；</w:t>
            </w:r>
          </w:p>
          <w:p w14:paraId="07DE0FF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6.各幕墙系统应按工程情况计算大面区和墙角区，并应选择最不利荷载或受力部位进行计算；</w:t>
            </w:r>
          </w:p>
          <w:p w14:paraId="4591092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面板、支承和连接结构等计算模型应与图纸相一致；采用有限元软件进行计算时，应列出计算条件、荷载取值、计算模型、边界条件、主要受力件的强度和刚度等，计算结果应采用云图表示并满足幕墙设计要求；</w:t>
            </w:r>
          </w:p>
          <w:p w14:paraId="38E1D2E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8.采用后置埋件、背栓连接应进行连接系统的承载力计算；</w:t>
            </w:r>
          </w:p>
          <w:p w14:paraId="3B0F4E6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9.应提供开启窗、悬挑大装饰条或装饰造型的结构计算，计算内容应包括所有传力的构件、配件及连接等；</w:t>
            </w:r>
          </w:p>
          <w:p w14:paraId="28F4372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10.支承索（杆）结构计算应提供索（杆）的预张拉力值，跨度大于8米的，必须有主体结构设计单位出具的技术文件，确认主体结构能够承受索（杆）体系的结构反力。</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16674C3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1.大跨度（悬挑）支承结构等计算出现漏项、计算结果不满足工程设计要求，扣10-20分；</w:t>
            </w:r>
          </w:p>
          <w:p w14:paraId="56F13EA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2.结构计算出现漏项、计算有误的，每项扣1-3分；</w:t>
            </w:r>
          </w:p>
          <w:p w14:paraId="6431BF8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3.缺幕墙墙角区计算、结构胶（含中空玻璃间层结构胶）计算的，每项扣3-5分；</w:t>
            </w:r>
          </w:p>
          <w:p w14:paraId="664AEEB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4.其它不符合要求或不合规情况，每项扣1-3分。</w:t>
            </w:r>
          </w:p>
        </w:tc>
        <w:tc>
          <w:tcPr>
            <w:tcW w:w="1572" w:type="dxa"/>
            <w:tcBorders>
              <w:left w:val="single" w:color="auto" w:sz="4" w:space="0"/>
              <w:right w:val="single" w:color="auto" w:sz="4" w:space="0"/>
            </w:tcBorders>
            <w:noWrap w:val="0"/>
            <w:vAlign w:val="center"/>
          </w:tcPr>
          <w:p w14:paraId="12E4F2C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结构计算跨度大于8米或悬挑跨度大于4米的结构为大跨度结构。</w:t>
            </w:r>
          </w:p>
        </w:tc>
        <w:tc>
          <w:tcPr>
            <w:tcW w:w="851" w:type="dxa"/>
            <w:tcBorders>
              <w:left w:val="single" w:color="auto" w:sz="4" w:space="0"/>
              <w:right w:val="single" w:color="auto" w:sz="4" w:space="0"/>
            </w:tcBorders>
            <w:noWrap w:val="0"/>
            <w:vAlign w:val="center"/>
          </w:tcPr>
          <w:p w14:paraId="78FA4B7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20分</w:t>
            </w:r>
          </w:p>
        </w:tc>
        <w:tc>
          <w:tcPr>
            <w:tcW w:w="2392" w:type="dxa"/>
            <w:tcBorders>
              <w:top w:val="single" w:color="auto" w:sz="4" w:space="0"/>
              <w:left w:val="single" w:color="auto" w:sz="4" w:space="0"/>
              <w:bottom w:val="single" w:color="auto" w:sz="4" w:space="0"/>
              <w:right w:val="single" w:color="auto" w:sz="4" w:space="0"/>
            </w:tcBorders>
            <w:noWrap w:val="0"/>
            <w:vAlign w:val="center"/>
          </w:tcPr>
          <w:p w14:paraId="60422F3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结合工程实体，按结构计算要求的内容进行逐项复查。</w:t>
            </w:r>
          </w:p>
        </w:tc>
      </w:tr>
      <w:tr w14:paraId="01B1C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0" w:type="dxa"/>
            <w:tcBorders>
              <w:left w:val="single" w:color="auto" w:sz="4" w:space="0"/>
              <w:bottom w:val="single" w:color="auto" w:sz="4" w:space="0"/>
              <w:right w:val="single" w:color="auto" w:sz="4" w:space="0"/>
            </w:tcBorders>
            <w:noWrap w:val="0"/>
            <w:vAlign w:val="center"/>
          </w:tcPr>
          <w:p w14:paraId="4FB6759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w:t>
            </w:r>
          </w:p>
        </w:tc>
        <w:tc>
          <w:tcPr>
            <w:tcW w:w="1498" w:type="dxa"/>
            <w:tcBorders>
              <w:left w:val="single" w:color="auto" w:sz="4" w:space="0"/>
              <w:right w:val="single" w:color="auto" w:sz="4" w:space="0"/>
            </w:tcBorders>
            <w:noWrap w:val="0"/>
            <w:vAlign w:val="center"/>
          </w:tcPr>
          <w:p w14:paraId="266B3792">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科技创新</w:t>
            </w:r>
          </w:p>
        </w:tc>
        <w:tc>
          <w:tcPr>
            <w:tcW w:w="4907" w:type="dxa"/>
            <w:tcBorders>
              <w:top w:val="single" w:color="auto" w:sz="4" w:space="0"/>
              <w:left w:val="single" w:color="auto" w:sz="4" w:space="0"/>
              <w:bottom w:val="single" w:color="auto" w:sz="4" w:space="0"/>
              <w:right w:val="single" w:color="auto" w:sz="4" w:space="0"/>
            </w:tcBorders>
            <w:noWrap w:val="0"/>
            <w:vAlign w:val="center"/>
          </w:tcPr>
          <w:p w14:paraId="76554ED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1.采用了新材料、新技术、新工艺，且提供了相应的证明资料（论证报告、鉴定报告等）；</w:t>
            </w:r>
          </w:p>
          <w:p w14:paraId="5AA0CC8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2.幕墙的节点构造设计具有创新性、实用性和推广性，或具有较显著经济效益；</w:t>
            </w:r>
          </w:p>
          <w:p w14:paraId="65CAD5B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3.已在国内相关专业期刊上发表了设计技术论文；</w:t>
            </w:r>
          </w:p>
          <w:p w14:paraId="7222868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4.已获得与申报工程设计相关的发明专利和实用新型专利；</w:t>
            </w:r>
          </w:p>
          <w:p w14:paraId="226205D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5.本工程已获得建筑装饰行业科学技术奖；</w:t>
            </w:r>
          </w:p>
          <w:p w14:paraId="203B950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6.设计中采用了预应力技术、3D打印技术、预制混凝土外墙挂板技术、索结构应用技术等。</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5E7440A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缺少其中内容，扣0.5-3分。</w:t>
            </w:r>
          </w:p>
        </w:tc>
        <w:tc>
          <w:tcPr>
            <w:tcW w:w="1572" w:type="dxa"/>
            <w:tcBorders>
              <w:left w:val="single" w:color="auto" w:sz="4" w:space="0"/>
              <w:right w:val="single" w:color="auto" w:sz="4" w:space="0"/>
            </w:tcBorders>
            <w:noWrap w:val="0"/>
            <w:vAlign w:val="center"/>
          </w:tcPr>
          <w:p w14:paraId="216BC341">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1" w:type="dxa"/>
            <w:tcBorders>
              <w:left w:val="single" w:color="auto" w:sz="4" w:space="0"/>
              <w:right w:val="single" w:color="auto" w:sz="4" w:space="0"/>
            </w:tcBorders>
            <w:noWrap w:val="0"/>
            <w:vAlign w:val="center"/>
          </w:tcPr>
          <w:p w14:paraId="0210252C">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5分</w:t>
            </w:r>
          </w:p>
        </w:tc>
        <w:tc>
          <w:tcPr>
            <w:tcW w:w="2392" w:type="dxa"/>
            <w:tcBorders>
              <w:top w:val="single" w:color="auto" w:sz="4" w:space="0"/>
              <w:left w:val="single" w:color="auto" w:sz="4" w:space="0"/>
              <w:bottom w:val="single" w:color="auto" w:sz="4" w:space="0"/>
              <w:right w:val="single" w:color="auto" w:sz="4" w:space="0"/>
            </w:tcBorders>
            <w:noWrap w:val="0"/>
            <w:vAlign w:val="center"/>
          </w:tcPr>
          <w:p w14:paraId="29DA9C5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查：工程实体、图纸、质量管理与技术资料等。</w:t>
            </w:r>
          </w:p>
        </w:tc>
      </w:tr>
      <w:tr w14:paraId="28CFB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870" w:type="dxa"/>
            <w:tcBorders>
              <w:left w:val="single" w:color="auto" w:sz="4" w:space="0"/>
              <w:bottom w:val="single" w:color="auto" w:sz="4" w:space="0"/>
              <w:right w:val="single" w:color="auto" w:sz="4" w:space="0"/>
            </w:tcBorders>
            <w:noWrap w:val="0"/>
            <w:vAlign w:val="center"/>
          </w:tcPr>
          <w:p w14:paraId="7177B76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w:t>
            </w:r>
          </w:p>
        </w:tc>
        <w:tc>
          <w:tcPr>
            <w:tcW w:w="1498" w:type="dxa"/>
            <w:tcBorders>
              <w:left w:val="single" w:color="auto" w:sz="4" w:space="0"/>
              <w:right w:val="single" w:color="auto" w:sz="4" w:space="0"/>
            </w:tcBorders>
            <w:noWrap w:val="0"/>
            <w:vAlign w:val="center"/>
          </w:tcPr>
          <w:p w14:paraId="6EC8304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总体印象</w:t>
            </w:r>
          </w:p>
        </w:tc>
        <w:tc>
          <w:tcPr>
            <w:tcW w:w="4907" w:type="dxa"/>
            <w:tcBorders>
              <w:top w:val="single" w:color="auto" w:sz="4" w:space="0"/>
              <w:left w:val="single" w:color="auto" w:sz="4" w:space="0"/>
              <w:bottom w:val="single" w:color="auto" w:sz="4" w:space="0"/>
              <w:right w:val="single" w:color="auto" w:sz="4" w:space="0"/>
            </w:tcBorders>
            <w:noWrap w:val="0"/>
            <w:vAlign w:val="center"/>
          </w:tcPr>
          <w:p w14:paraId="036DC29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1.组织工作准备充分，人员到位（项目设计负责人和设计师应到场参加汇报）；</w:t>
            </w:r>
          </w:p>
          <w:p w14:paraId="3455213C">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2.汇报PPT内容重点突出、清晰简洁，并应提供整体与局部实景照片。</w:t>
            </w:r>
          </w:p>
          <w:p w14:paraId="01C4448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3.资料准备充分有序，易于查找；</w:t>
            </w:r>
          </w:p>
          <w:p w14:paraId="63887F7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4.用户沟通意见。</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4586E27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1.主要人员、资料、过程安排准备不足，扣3-10分；</w:t>
            </w:r>
          </w:p>
          <w:p w14:paraId="058FD91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2.未做PPT及纸质版汇报资料，扣3-5分；</w:t>
            </w:r>
          </w:p>
          <w:p w14:paraId="4F21A59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3.其它不规范、不到位情况每项扣0.5-1分。</w:t>
            </w:r>
          </w:p>
        </w:tc>
        <w:tc>
          <w:tcPr>
            <w:tcW w:w="1572" w:type="dxa"/>
            <w:tcBorders>
              <w:left w:val="single" w:color="auto" w:sz="4" w:space="0"/>
              <w:right w:val="single" w:color="auto" w:sz="4" w:space="0"/>
            </w:tcBorders>
            <w:noWrap w:val="0"/>
            <w:vAlign w:val="center"/>
          </w:tcPr>
          <w:p w14:paraId="74DB3616">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p>
        </w:tc>
        <w:tc>
          <w:tcPr>
            <w:tcW w:w="851" w:type="dxa"/>
            <w:tcBorders>
              <w:left w:val="single" w:color="auto" w:sz="4" w:space="0"/>
              <w:right w:val="single" w:color="auto" w:sz="4" w:space="0"/>
            </w:tcBorders>
            <w:noWrap w:val="0"/>
            <w:vAlign w:val="center"/>
          </w:tcPr>
          <w:p w14:paraId="02A6667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10分</w:t>
            </w:r>
          </w:p>
        </w:tc>
        <w:tc>
          <w:tcPr>
            <w:tcW w:w="2392" w:type="dxa"/>
            <w:tcBorders>
              <w:top w:val="single" w:color="auto" w:sz="4" w:space="0"/>
              <w:left w:val="single" w:color="auto" w:sz="4" w:space="0"/>
              <w:bottom w:val="single" w:color="auto" w:sz="4" w:space="0"/>
              <w:right w:val="single" w:color="auto" w:sz="4" w:space="0"/>
            </w:tcBorders>
            <w:noWrap w:val="0"/>
            <w:vAlign w:val="center"/>
          </w:tcPr>
          <w:p w14:paraId="1A66C91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w:t>
            </w:r>
          </w:p>
          <w:p w14:paraId="2BFE94B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1.组织准备情况等；</w:t>
            </w:r>
          </w:p>
          <w:p w14:paraId="21CFE81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2.PPT（汇报时间不超过10分钟）。</w:t>
            </w:r>
          </w:p>
          <w:p w14:paraId="5AC0844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3.用户意见。</w:t>
            </w:r>
          </w:p>
        </w:tc>
      </w:tr>
    </w:tbl>
    <w:p w14:paraId="6635EEC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b/>
          <w:bCs/>
          <w:spacing w:val="0"/>
        </w:rPr>
        <w:sectPr>
          <w:pgSz w:w="16838" w:h="11906" w:orient="landscape"/>
          <w:pgMar w:top="1247" w:right="1440" w:bottom="1587" w:left="1440" w:header="851" w:footer="992" w:gutter="0"/>
          <w:pgNumType w:fmt="numberInDash"/>
          <w:cols w:space="720" w:num="1"/>
          <w:docGrid w:type="lines" w:linePitch="312" w:charSpace="0"/>
        </w:sectPr>
      </w:pPr>
    </w:p>
    <w:p w14:paraId="5F4B23CC">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spacing w:val="0"/>
          <w:sz w:val="32"/>
          <w:szCs w:val="32"/>
        </w:rPr>
      </w:pPr>
      <w:r>
        <w:rPr>
          <w:rFonts w:hint="eastAsia" w:ascii="黑体" w:hAnsi="黑体" w:eastAsia="黑体" w:cs="黑体"/>
          <w:spacing w:val="0"/>
          <w:sz w:val="32"/>
          <w:szCs w:val="32"/>
        </w:rPr>
        <w:t>附件5</w:t>
      </w:r>
    </w:p>
    <w:p w14:paraId="40C65280">
      <w:pPr>
        <w:keepNext w:val="0"/>
        <w:keepLines w:val="0"/>
        <w:pageBreakBefore w:val="0"/>
        <w:widowControl w:val="0"/>
        <w:kinsoku/>
        <w:wordWrap/>
        <w:overflowPunct/>
        <w:topLinePunct w:val="0"/>
        <w:autoSpaceDE w:val="0"/>
        <w:autoSpaceDN w:val="0"/>
        <w:bidi w:val="0"/>
        <w:adjustRightInd/>
        <w:snapToGrid/>
        <w:spacing w:beforeAutospacing="0" w:afterAutospacing="0" w:line="288" w:lineRule="auto"/>
        <w:ind w:left="0" w:right="0" w:firstLine="0"/>
        <w:jc w:val="center"/>
        <w:textAlignment w:val="auto"/>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pPr>
      <w:r>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t>中国建筑装饰协会中国建筑工程装饰奖</w:t>
      </w:r>
    </w:p>
    <w:p w14:paraId="20BCDA83">
      <w:pPr>
        <w:keepNext w:val="0"/>
        <w:keepLines w:val="0"/>
        <w:pageBreakBefore w:val="0"/>
        <w:widowControl w:val="0"/>
        <w:kinsoku/>
        <w:wordWrap/>
        <w:overflowPunct/>
        <w:topLinePunct w:val="0"/>
        <w:autoSpaceDE w:val="0"/>
        <w:autoSpaceDN w:val="0"/>
        <w:bidi w:val="0"/>
        <w:adjustRightInd/>
        <w:snapToGrid/>
        <w:spacing w:beforeAutospacing="0" w:afterAutospacing="0" w:line="288" w:lineRule="auto"/>
        <w:ind w:left="0" w:right="0" w:firstLine="0"/>
        <w:jc w:val="center"/>
        <w:textAlignment w:val="auto"/>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pPr>
      <w:r>
        <w:rPr>
          <w:rFonts w:hint="eastAsia" w:ascii="方正小标宋简体" w:hAnsi="方正小标宋简体" w:eastAsia="方正小标宋简体" w:cs="方正小标宋简体"/>
          <w:snapToGrid w:val="0"/>
          <w:color w:val="000000"/>
          <w:spacing w:val="0"/>
          <w:kern w:val="0"/>
          <w:sz w:val="36"/>
          <w:szCs w:val="36"/>
          <w:highlight w:val="none"/>
          <w:lang w:val="en-US" w:eastAsia="zh-CN"/>
        </w:rPr>
        <w:t>复查实施细则</w:t>
      </w:r>
    </w:p>
    <w:p w14:paraId="726E8A93">
      <w:pPr>
        <w:keepNext w:val="0"/>
        <w:keepLines w:val="0"/>
        <w:pageBreakBefore w:val="0"/>
        <w:widowControl w:val="0"/>
        <w:kinsoku/>
        <w:wordWrap/>
        <w:overflowPunct/>
        <w:topLinePunct w:val="0"/>
        <w:bidi w:val="0"/>
        <w:snapToGrid/>
        <w:spacing w:line="240" w:lineRule="auto"/>
        <w:jc w:val="center"/>
        <w:textAlignment w:val="auto"/>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住宅类</w:t>
      </w:r>
    </w:p>
    <w:p w14:paraId="75DB8DB6">
      <w:pPr>
        <w:keepNext w:val="0"/>
        <w:keepLines w:val="0"/>
        <w:pageBreakBefore w:val="0"/>
        <w:widowControl w:val="0"/>
        <w:numPr>
          <w:ilvl w:val="0"/>
          <w:numId w:val="0"/>
        </w:numPr>
        <w:kinsoku/>
        <w:wordWrap/>
        <w:overflowPunct/>
        <w:topLinePunct w:val="0"/>
        <w:bidi w:val="0"/>
        <w:adjustRightInd w:val="0"/>
        <w:snapToGrid/>
        <w:spacing w:line="240" w:lineRule="auto"/>
        <w:ind w:firstLine="640" w:firstLineChars="200"/>
        <w:textAlignment w:val="auto"/>
        <w:outlineLvl w:val="1"/>
        <w:rPr>
          <w:rFonts w:hint="eastAsia" w:ascii="黑体" w:hAnsi="黑体" w:eastAsia="黑体" w:cs="黑体"/>
          <w:bCs/>
          <w:spacing w:val="0"/>
          <w:kern w:val="2"/>
          <w:sz w:val="32"/>
          <w:szCs w:val="32"/>
          <w:lang w:val="en-US" w:eastAsia="zh-CN" w:bidi="ar-SA"/>
        </w:rPr>
      </w:pPr>
      <w:bookmarkStart w:id="37" w:name="_Toc3348"/>
      <w:bookmarkStart w:id="38" w:name="_Toc14257"/>
    </w:p>
    <w:p w14:paraId="4F5AC2EC">
      <w:pPr>
        <w:keepNext w:val="0"/>
        <w:keepLines w:val="0"/>
        <w:pageBreakBefore w:val="0"/>
        <w:widowControl w:val="0"/>
        <w:kinsoku/>
        <w:wordWrap/>
        <w:overflowPunct/>
        <w:topLinePunct w:val="0"/>
        <w:bidi w:val="0"/>
        <w:adjustRightInd w:val="0"/>
        <w:snapToGrid/>
        <w:spacing w:line="240" w:lineRule="auto"/>
        <w:ind w:firstLine="640" w:firstLineChars="200"/>
        <w:textAlignment w:val="auto"/>
        <w:outlineLvl w:val="1"/>
        <w:rPr>
          <w:rFonts w:hint="eastAsia" w:ascii="黑体" w:hAnsi="黑体" w:eastAsia="黑体" w:cs="黑体"/>
          <w:b w:val="0"/>
          <w:bCs/>
          <w:spacing w:val="0"/>
          <w:sz w:val="32"/>
          <w:szCs w:val="32"/>
        </w:rPr>
      </w:pPr>
      <w:r>
        <w:rPr>
          <w:rFonts w:hint="eastAsia" w:ascii="黑体" w:hAnsi="黑体" w:eastAsia="黑体" w:cs="黑体"/>
          <w:b w:val="0"/>
          <w:bCs/>
          <w:spacing w:val="0"/>
          <w:sz w:val="32"/>
          <w:szCs w:val="32"/>
          <w:lang w:val="en-US" w:eastAsia="zh-CN"/>
        </w:rPr>
        <w:t>一、</w:t>
      </w:r>
      <w:r>
        <w:rPr>
          <w:rFonts w:hint="eastAsia" w:ascii="黑体" w:hAnsi="黑体" w:eastAsia="黑体" w:cs="黑体"/>
          <w:b w:val="0"/>
          <w:bCs/>
          <w:spacing w:val="0"/>
          <w:sz w:val="32"/>
          <w:szCs w:val="32"/>
        </w:rPr>
        <w:t>评分标准及要求</w:t>
      </w:r>
      <w:bookmarkEnd w:id="37"/>
      <w:bookmarkEnd w:id="38"/>
    </w:p>
    <w:p w14:paraId="3558F4C6">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鉴于复查项目的工程性质、类别、规模、使用的材料采用的工艺等各方面差别较大，故复查工程的评分采用扣分法，本细则重点列出了在资料（必要文件、工程安全证明资料、过程资料、图纸）、工程实体（地面、墙柱面、吊顶）、创新技术、宜居性与适老性、总体印象等几个方面的常见问题、质量通病和涉及安全与使用的问题，结合复查中查出的问题进行评分。项目复查总分为100分。</w:t>
      </w:r>
    </w:p>
    <w:p w14:paraId="709F9283">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鉴于住宅装饰工程的特殊性，公共区域抽查比例不少于20%，户内抽查比例不少于10%，但户内抽查应包含所有户型。</w:t>
      </w:r>
    </w:p>
    <w:p w14:paraId="0B67882A">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工程复查评分标准——住宅类》所列复查内容均为工程复查的必查和主查内容，各复查小组可根据项目实际情况做必要的补充和调整，但必查内容不可取消。复查评分严格按照各项要求及评分标准进行复查评分，并将各大项评分记录在申报表工程复查表中。</w:t>
      </w:r>
    </w:p>
    <w:p w14:paraId="4EFBD9CB">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申报装饰奖的单位需重视对工程安全隐患的排查及相关必要文件的准备，要求申报单位在申报前对如下方面进行自查，使其符合相应的国家强制性规范和标准以及装饰奖复查的要求。</w:t>
      </w:r>
    </w:p>
    <w:p w14:paraId="7DACCF0D">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重点部位及资料：</w:t>
      </w:r>
    </w:p>
    <w:p w14:paraId="1625039F">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（一）改动或破坏承重结构、受力钢筋；</w:t>
      </w:r>
    </w:p>
    <w:p w14:paraId="6B6BF785">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（二）窗台高度；</w:t>
      </w:r>
    </w:p>
    <w:p w14:paraId="4803AD0B">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（三）阳台、楼梯、走道防护栏杆高度、构造、竖向杆件间距、玻璃品种及规格；</w:t>
      </w:r>
    </w:p>
    <w:p w14:paraId="191B1E0B">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（四）配电箱及开关插座的性能、电气线路接线、卫生间等电位联接、大型吊灯的荷载试验；</w:t>
      </w:r>
    </w:p>
    <w:p w14:paraId="7179948A">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（五）消火栓暗门启闭灵便、开启方向正确、标识明显；</w:t>
      </w:r>
    </w:p>
    <w:p w14:paraId="73E0B064">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（六）厨房、消防楼梯间及前室、水平疏散通道装修材料的燃烧性能等级；</w:t>
      </w:r>
    </w:p>
    <w:p w14:paraId="370C64A4">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（七）墙面干</w:t>
      </w:r>
      <w:r>
        <w:rPr>
          <w:rFonts w:hint="eastAsia" w:ascii="仿宋_GB2312" w:hAnsi="仿宋_GB2312" w:eastAsia="仿宋_GB2312" w:cs="仿宋_GB2312"/>
          <w:spacing w:val="-6"/>
          <w:sz w:val="32"/>
          <w:szCs w:val="32"/>
        </w:rPr>
        <w:t>挂石材、瓷砖的构造，墙地面瓷砖空鼓及平整度；</w:t>
      </w:r>
    </w:p>
    <w:p w14:paraId="2A06BA89">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（八）卫生间、厨房、阳台防水性能以及与相邻室内地面的高差，无障碍措施，室内异味；</w:t>
      </w:r>
    </w:p>
    <w:p w14:paraId="6367DED5">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（九）淋浴玻璃隔断的构造、玻璃品种及规格；</w:t>
      </w:r>
    </w:p>
    <w:p w14:paraId="5EA0A725">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（十）厨房、卫生间、敞开式阳台、连廊、架空层地面材料的防滑性能；</w:t>
      </w:r>
    </w:p>
    <w:p w14:paraId="26DD83DC">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（十一）改动或破坏燃气管道、共用竖向烟道；</w:t>
      </w:r>
    </w:p>
    <w:p w14:paraId="0A153552">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（十二）室内环境质量。</w:t>
      </w:r>
    </w:p>
    <w:p w14:paraId="6F17F845">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十三）申报单位的营业执照、施工资质证书、安全生产许可证，工程承包合同，项目经理注册建造师证书、安全生产考核合格证书，工程施工许可证、竣工验收合格证明文件、消防验收合格或备案的文件、室内环境质量检测报告等必要文件应真实齐全并符合申报要求。</w:t>
      </w:r>
    </w:p>
    <w:p w14:paraId="5B5F7DF5">
      <w:pPr>
        <w:keepNext w:val="0"/>
        <w:keepLines w:val="0"/>
        <w:pageBreakBefore w:val="0"/>
        <w:widowControl w:val="0"/>
        <w:kinsoku/>
        <w:wordWrap/>
        <w:overflowPunct/>
        <w:topLinePunct w:val="0"/>
        <w:bidi w:val="0"/>
        <w:adjustRightInd w:val="0"/>
        <w:snapToGrid/>
        <w:spacing w:line="240" w:lineRule="auto"/>
        <w:ind w:firstLine="640" w:firstLineChars="200"/>
        <w:textAlignment w:val="auto"/>
        <w:outlineLvl w:val="1"/>
        <w:rPr>
          <w:rFonts w:hint="eastAsia" w:ascii="黑体" w:hAnsi="黑体" w:eastAsia="黑体" w:cs="黑体"/>
          <w:b w:val="0"/>
          <w:bCs/>
          <w:spacing w:val="0"/>
          <w:sz w:val="32"/>
          <w:szCs w:val="32"/>
        </w:rPr>
      </w:pPr>
      <w:bookmarkStart w:id="39" w:name="_Toc965"/>
      <w:r>
        <w:rPr>
          <w:rFonts w:hint="eastAsia" w:ascii="黑体" w:hAnsi="黑体" w:eastAsia="黑体" w:cs="黑体"/>
          <w:b w:val="0"/>
          <w:bCs/>
          <w:spacing w:val="0"/>
          <w:sz w:val="32"/>
          <w:szCs w:val="32"/>
        </w:rPr>
        <w:t>二、执行的法规、规范和标准</w:t>
      </w:r>
      <w:bookmarkEnd w:id="39"/>
    </w:p>
    <w:p w14:paraId="6CF349B6">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以法律法规、现行国家和行业规范标准以及CBDA标准为准。</w:t>
      </w:r>
    </w:p>
    <w:p w14:paraId="19D61A7A">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spacing w:val="0"/>
          <w:kern w:val="0"/>
          <w:sz w:val="32"/>
          <w:szCs w:val="32"/>
        </w:rPr>
        <w:sectPr>
          <w:pgSz w:w="11906" w:h="16838"/>
          <w:pgMar w:top="1440" w:right="1247" w:bottom="1440" w:left="1587" w:header="851" w:footer="992" w:gutter="0"/>
          <w:pgNumType w:fmt="numberInDash"/>
          <w:cols w:space="720" w:num="1"/>
          <w:docGrid w:type="lines" w:linePitch="312" w:charSpace="0"/>
        </w:sectPr>
      </w:pPr>
    </w:p>
    <w:p w14:paraId="34AA260A">
      <w:pPr>
        <w:keepNext w:val="0"/>
        <w:keepLines w:val="0"/>
        <w:pageBreakBefore w:val="0"/>
        <w:widowControl w:val="0"/>
        <w:kinsoku/>
        <w:wordWrap/>
        <w:overflowPunct/>
        <w:topLinePunct w:val="0"/>
        <w:bidi w:val="0"/>
        <w:adjustRightInd w:val="0"/>
        <w:snapToGrid/>
        <w:spacing w:line="240" w:lineRule="auto"/>
        <w:jc w:val="center"/>
        <w:textAlignment w:val="auto"/>
        <w:outlineLvl w:val="1"/>
        <w:rPr>
          <w:rFonts w:hint="eastAsia" w:ascii="黑体" w:hAnsi="黑体" w:eastAsia="黑体" w:cs="黑体"/>
          <w:b w:val="0"/>
          <w:bCs/>
          <w:spacing w:val="0"/>
          <w:sz w:val="32"/>
          <w:szCs w:val="32"/>
        </w:rPr>
      </w:pPr>
      <w:bookmarkStart w:id="40" w:name="_Toc13425"/>
      <w:bookmarkStart w:id="41" w:name="_Toc3734"/>
      <w:r>
        <w:rPr>
          <w:rFonts w:hint="eastAsia" w:ascii="黑体" w:hAnsi="黑体" w:eastAsia="黑体" w:cs="黑体"/>
          <w:b w:val="0"/>
          <w:bCs/>
          <w:spacing w:val="0"/>
          <w:sz w:val="32"/>
          <w:szCs w:val="32"/>
        </w:rPr>
        <w:t>三、工程复查评分标准——住宅类</w:t>
      </w:r>
      <w:bookmarkEnd w:id="40"/>
      <w:bookmarkEnd w:id="41"/>
    </w:p>
    <w:p w14:paraId="1B4DAC74">
      <w:pPr>
        <w:keepNext w:val="0"/>
        <w:keepLines w:val="0"/>
        <w:pageBreakBefore w:val="0"/>
        <w:widowControl w:val="0"/>
        <w:kinsoku/>
        <w:wordWrap/>
        <w:overflowPunct/>
        <w:topLinePunct w:val="0"/>
        <w:bidi w:val="0"/>
        <w:snapToGrid/>
        <w:spacing w:line="240" w:lineRule="auto"/>
        <w:ind w:firstLine="201" w:firstLineChars="200"/>
        <w:textAlignment w:val="auto"/>
        <w:rPr>
          <w:rFonts w:hint="eastAsia" w:ascii="方正仿宋_GB2312" w:hAnsi="方正仿宋_GB2312" w:eastAsia="方正仿宋_GB2312" w:cs="方正仿宋_GB2312"/>
          <w:b/>
          <w:bCs/>
          <w:spacing w:val="0"/>
          <w:sz w:val="10"/>
          <w:szCs w:val="10"/>
        </w:rPr>
      </w:pPr>
      <w:r>
        <w:rPr>
          <w:rFonts w:hint="eastAsia" w:ascii="方正仿宋_GB2312" w:hAnsi="方正仿宋_GB2312" w:eastAsia="方正仿宋_GB2312" w:cs="方正仿宋_GB2312"/>
          <w:b/>
          <w:bCs/>
          <w:spacing w:val="0"/>
          <w:sz w:val="10"/>
          <w:szCs w:val="10"/>
        </w:rPr>
        <w:t xml:space="preserve"> </w:t>
      </w:r>
    </w:p>
    <w:tbl>
      <w:tblPr>
        <w:tblStyle w:val="25"/>
        <w:tblW w:w="14295" w:type="dxa"/>
        <w:tblInd w:w="-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408"/>
        <w:gridCol w:w="4769"/>
        <w:gridCol w:w="2463"/>
        <w:gridCol w:w="1647"/>
        <w:gridCol w:w="851"/>
        <w:gridCol w:w="2362"/>
      </w:tblGrid>
      <w:tr w14:paraId="0F290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14:paraId="43FBE67B">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序号</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06ADC473">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复查项目</w:t>
            </w:r>
          </w:p>
        </w:tc>
        <w:tc>
          <w:tcPr>
            <w:tcW w:w="4769" w:type="dxa"/>
            <w:tcBorders>
              <w:top w:val="single" w:color="auto" w:sz="4" w:space="0"/>
              <w:left w:val="single" w:color="auto" w:sz="4" w:space="0"/>
              <w:bottom w:val="single" w:color="auto" w:sz="4" w:space="0"/>
              <w:right w:val="single" w:color="auto" w:sz="4" w:space="0"/>
            </w:tcBorders>
            <w:noWrap w:val="0"/>
            <w:vAlign w:val="center"/>
          </w:tcPr>
          <w:p w14:paraId="7005E206">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复查内容</w:t>
            </w:r>
          </w:p>
        </w:tc>
        <w:tc>
          <w:tcPr>
            <w:tcW w:w="2463" w:type="dxa"/>
            <w:tcBorders>
              <w:top w:val="single" w:color="auto" w:sz="4" w:space="0"/>
              <w:left w:val="single" w:color="auto" w:sz="4" w:space="0"/>
              <w:bottom w:val="single" w:color="auto" w:sz="4" w:space="0"/>
              <w:right w:val="single" w:color="auto" w:sz="4" w:space="0"/>
            </w:tcBorders>
            <w:noWrap w:val="0"/>
            <w:vAlign w:val="center"/>
          </w:tcPr>
          <w:p w14:paraId="70B2B1C9">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评分标准</w:t>
            </w:r>
          </w:p>
        </w:tc>
        <w:tc>
          <w:tcPr>
            <w:tcW w:w="1647" w:type="dxa"/>
            <w:tcBorders>
              <w:top w:val="single" w:color="auto" w:sz="4" w:space="0"/>
              <w:left w:val="single" w:color="auto" w:sz="4" w:space="0"/>
              <w:bottom w:val="single" w:color="auto" w:sz="4" w:space="0"/>
              <w:right w:val="single" w:color="auto" w:sz="4" w:space="0"/>
            </w:tcBorders>
            <w:noWrap w:val="0"/>
            <w:vAlign w:val="center"/>
          </w:tcPr>
          <w:p w14:paraId="3F644B78">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41EA20D7">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分值</w:t>
            </w:r>
          </w:p>
        </w:tc>
        <w:tc>
          <w:tcPr>
            <w:tcW w:w="2362" w:type="dxa"/>
            <w:tcBorders>
              <w:top w:val="single" w:color="auto" w:sz="4" w:space="0"/>
              <w:left w:val="single" w:color="auto" w:sz="4" w:space="0"/>
              <w:bottom w:val="single" w:color="auto" w:sz="4" w:space="0"/>
              <w:right w:val="single" w:color="auto" w:sz="4" w:space="0"/>
            </w:tcBorders>
            <w:noWrap w:val="0"/>
            <w:vAlign w:val="center"/>
          </w:tcPr>
          <w:p w14:paraId="09C28D4F">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 w:val="0"/>
                <w:bCs w:val="0"/>
                <w:spacing w:val="0"/>
                <w:sz w:val="28"/>
                <w:szCs w:val="28"/>
              </w:rPr>
            </w:pPr>
            <w:r>
              <w:rPr>
                <w:rFonts w:hint="eastAsia" w:ascii="黑体" w:hAnsi="黑体" w:eastAsia="黑体" w:cs="黑体"/>
                <w:b w:val="0"/>
                <w:bCs w:val="0"/>
                <w:spacing w:val="0"/>
                <w:sz w:val="28"/>
                <w:szCs w:val="28"/>
              </w:rPr>
              <w:t>复查方法</w:t>
            </w:r>
          </w:p>
        </w:tc>
      </w:tr>
      <w:tr w14:paraId="739AD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3" w:hRule="atLeast"/>
        </w:trPr>
        <w:tc>
          <w:tcPr>
            <w:tcW w:w="795" w:type="dxa"/>
            <w:vMerge w:val="restart"/>
            <w:tcBorders>
              <w:top w:val="single" w:color="auto" w:sz="4" w:space="0"/>
              <w:left w:val="single" w:color="auto" w:sz="4" w:space="0"/>
              <w:right w:val="single" w:color="auto" w:sz="4" w:space="0"/>
            </w:tcBorders>
            <w:noWrap w:val="0"/>
            <w:vAlign w:val="center"/>
          </w:tcPr>
          <w:p w14:paraId="5EA49EF2">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w:t>
            </w:r>
          </w:p>
        </w:tc>
        <w:tc>
          <w:tcPr>
            <w:tcW w:w="1408" w:type="dxa"/>
            <w:vMerge w:val="restart"/>
            <w:tcBorders>
              <w:top w:val="single" w:color="auto" w:sz="4" w:space="0"/>
              <w:left w:val="single" w:color="auto" w:sz="4" w:space="0"/>
              <w:right w:val="single" w:color="auto" w:sz="4" w:space="0"/>
            </w:tcBorders>
            <w:noWrap w:val="0"/>
            <w:vAlign w:val="center"/>
          </w:tcPr>
          <w:p w14:paraId="56533F1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资料</w:t>
            </w:r>
          </w:p>
        </w:tc>
        <w:tc>
          <w:tcPr>
            <w:tcW w:w="4769" w:type="dxa"/>
            <w:tcBorders>
              <w:top w:val="single" w:color="auto" w:sz="4" w:space="0"/>
              <w:left w:val="single" w:color="auto" w:sz="4" w:space="0"/>
              <w:bottom w:val="single" w:color="auto" w:sz="4" w:space="0"/>
              <w:right w:val="single" w:color="auto" w:sz="4" w:space="0"/>
            </w:tcBorders>
            <w:noWrap w:val="0"/>
            <w:vAlign w:val="center"/>
          </w:tcPr>
          <w:p w14:paraId="1EF59640">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必要文件：</w:t>
            </w:r>
          </w:p>
          <w:p w14:paraId="7938398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1.企业法人营业证照、资质等级证书、安全生产许可证（此三项上一年度参评企业可提供加盖本单位公章的复印件）</w:t>
            </w:r>
          </w:p>
          <w:p w14:paraId="28B3960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2.项目经理注册建造师证书、安全生产考核合格证书；</w:t>
            </w:r>
          </w:p>
          <w:p w14:paraId="2C997F5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3.施工许可相关证明文件；</w:t>
            </w:r>
          </w:p>
          <w:p w14:paraId="7B4C071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4.施工合同；</w:t>
            </w:r>
          </w:p>
          <w:p w14:paraId="1DF7086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5.项目竣工验收证明文件（相关责任主体签章必须齐全）；</w:t>
            </w:r>
          </w:p>
          <w:p w14:paraId="4720B7E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6.消防验收合格证明或消防竣工备案证明；</w:t>
            </w:r>
          </w:p>
          <w:p w14:paraId="450986B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7.室内环境质量检测报告，需由具备相应资质的检测机构出具；</w:t>
            </w:r>
          </w:p>
          <w:p w14:paraId="5FD1F7A9">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8.竣工验收备案表</w:t>
            </w:r>
          </w:p>
        </w:tc>
        <w:tc>
          <w:tcPr>
            <w:tcW w:w="2463" w:type="dxa"/>
            <w:tcBorders>
              <w:top w:val="single" w:color="auto" w:sz="4" w:space="0"/>
              <w:left w:val="single" w:color="auto" w:sz="4" w:space="0"/>
              <w:bottom w:val="single" w:color="auto" w:sz="4" w:space="0"/>
              <w:right w:val="single" w:color="auto" w:sz="4" w:space="0"/>
            </w:tcBorders>
            <w:noWrap w:val="0"/>
            <w:vAlign w:val="center"/>
          </w:tcPr>
          <w:p w14:paraId="1CF0B393">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必要文件有一项不合格或不符合要求者不予评审。</w:t>
            </w:r>
          </w:p>
        </w:tc>
        <w:tc>
          <w:tcPr>
            <w:tcW w:w="1647" w:type="dxa"/>
            <w:tcBorders>
              <w:top w:val="single" w:color="auto" w:sz="4" w:space="0"/>
              <w:left w:val="single" w:color="auto" w:sz="4" w:space="0"/>
              <w:right w:val="single" w:color="auto" w:sz="4" w:space="0"/>
            </w:tcBorders>
            <w:noWrap w:val="0"/>
            <w:vAlign w:val="center"/>
          </w:tcPr>
          <w:p w14:paraId="46EFF7CB">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必要文件应为原件或可网查的电子文件打印件并加盖申报单位鲜章。</w:t>
            </w:r>
          </w:p>
          <w:p w14:paraId="1DA75ED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bCs/>
                <w:spacing w:val="0"/>
                <w:szCs w:val="21"/>
              </w:rPr>
              <w:t>室内环境质量检测单位必须具有相应的检测资质，检测项目及检测标准必须符合现行国家标准《民用建筑工程室内环境污染控制标准》GB50325-2020中</w:t>
            </w:r>
            <w:r>
              <w:rPr>
                <w:rFonts w:hint="eastAsia" w:ascii="方正仿宋_GB2312" w:hAnsi="方正仿宋_GB2312" w:eastAsia="方正仿宋_GB2312" w:cs="方正仿宋_GB2312"/>
                <w:bCs/>
                <w:spacing w:val="0"/>
                <w:szCs w:val="21"/>
              </w:rPr>
              <w:fldChar w:fldCharType="begin"/>
            </w:r>
            <w:r>
              <w:rPr>
                <w:rFonts w:hint="eastAsia" w:ascii="方正仿宋_GB2312" w:hAnsi="方正仿宋_GB2312" w:eastAsia="方正仿宋_GB2312" w:cs="方正仿宋_GB2312"/>
                <w:bCs/>
                <w:spacing w:val="0"/>
                <w:szCs w:val="21"/>
              </w:rPr>
              <w:instrText xml:space="preserve">= 1 \* ROMAN</w:instrText>
            </w:r>
            <w:r>
              <w:rPr>
                <w:rFonts w:hint="eastAsia" w:ascii="方正仿宋_GB2312" w:hAnsi="方正仿宋_GB2312" w:eastAsia="方正仿宋_GB2312" w:cs="方正仿宋_GB2312"/>
                <w:bCs/>
                <w:spacing w:val="0"/>
                <w:szCs w:val="21"/>
              </w:rPr>
              <w:fldChar w:fldCharType="separate"/>
            </w:r>
            <w:r>
              <w:rPr>
                <w:rFonts w:hint="eastAsia" w:ascii="方正仿宋_GB2312" w:hAnsi="方正仿宋_GB2312" w:eastAsia="方正仿宋_GB2312" w:cs="方正仿宋_GB2312"/>
                <w:bCs/>
                <w:spacing w:val="0"/>
                <w:szCs w:val="21"/>
              </w:rPr>
              <w:t>I</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bCs/>
                <w:spacing w:val="0"/>
                <w:szCs w:val="21"/>
              </w:rPr>
              <w:t>类民用建筑的规定。</w:t>
            </w:r>
          </w:p>
        </w:tc>
        <w:tc>
          <w:tcPr>
            <w:tcW w:w="851" w:type="dxa"/>
            <w:vMerge w:val="restart"/>
            <w:tcBorders>
              <w:top w:val="single" w:color="auto" w:sz="4" w:space="0"/>
              <w:left w:val="single" w:color="auto" w:sz="4" w:space="0"/>
              <w:right w:val="single" w:color="auto" w:sz="4" w:space="0"/>
            </w:tcBorders>
            <w:noWrap w:val="0"/>
            <w:vAlign w:val="center"/>
          </w:tcPr>
          <w:p w14:paraId="5D3E3AEB">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20分</w:t>
            </w:r>
          </w:p>
        </w:tc>
        <w:tc>
          <w:tcPr>
            <w:tcW w:w="2362" w:type="dxa"/>
            <w:tcBorders>
              <w:top w:val="single" w:color="auto" w:sz="4" w:space="0"/>
              <w:left w:val="single" w:color="auto" w:sz="4" w:space="0"/>
              <w:right w:val="single" w:color="auto" w:sz="4" w:space="0"/>
            </w:tcBorders>
            <w:noWrap w:val="0"/>
            <w:vAlign w:val="center"/>
          </w:tcPr>
          <w:p w14:paraId="1579EE6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查：相关文件资料原件或电子证件（提供网查链接）；</w:t>
            </w:r>
          </w:p>
          <w:p w14:paraId="3A21DDDF">
            <w:pPr>
              <w:keepNext w:val="0"/>
              <w:keepLines w:val="0"/>
              <w:pageBreakBefore w:val="0"/>
              <w:widowControl w:val="0"/>
              <w:kinsoku/>
              <w:wordWrap/>
              <w:overflowPunct/>
              <w:topLinePunct w:val="0"/>
              <w:bidi w:val="0"/>
              <w:snapToGrid/>
              <w:spacing w:line="240" w:lineRule="auto"/>
              <w:ind w:firstLine="420" w:firstLineChars="20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原件已存入城建档案馆或城建档案管理机构的可提供由档案馆或城建档案管理机构出具的加盖出具单位和申报单位鲜章并注明“原件存于XXX，复印件与原件相同”字样的复印件。</w:t>
            </w:r>
          </w:p>
        </w:tc>
      </w:tr>
      <w:tr w14:paraId="02001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795" w:type="dxa"/>
            <w:vMerge w:val="continue"/>
            <w:tcBorders>
              <w:left w:val="single" w:color="auto" w:sz="4" w:space="0"/>
              <w:right w:val="single" w:color="auto" w:sz="4" w:space="0"/>
            </w:tcBorders>
            <w:noWrap w:val="0"/>
            <w:vAlign w:val="center"/>
          </w:tcPr>
          <w:p w14:paraId="6A3E708B">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408" w:type="dxa"/>
            <w:vMerge w:val="continue"/>
            <w:tcBorders>
              <w:left w:val="single" w:color="auto" w:sz="4" w:space="0"/>
              <w:right w:val="single" w:color="auto" w:sz="4" w:space="0"/>
            </w:tcBorders>
            <w:noWrap w:val="0"/>
            <w:vAlign w:val="center"/>
          </w:tcPr>
          <w:p w14:paraId="1F5529B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4769" w:type="dxa"/>
            <w:tcBorders>
              <w:top w:val="single" w:color="auto" w:sz="4" w:space="0"/>
              <w:left w:val="single" w:color="auto" w:sz="4" w:space="0"/>
              <w:bottom w:val="single" w:color="auto" w:sz="4" w:space="0"/>
              <w:right w:val="single" w:color="auto" w:sz="4" w:space="0"/>
            </w:tcBorders>
            <w:noWrap w:val="0"/>
            <w:vAlign w:val="center"/>
          </w:tcPr>
          <w:p w14:paraId="3014208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工程安全证明资料：</w:t>
            </w:r>
          </w:p>
          <w:p w14:paraId="36E8F2F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1.涉及主体和承重结构改动或增加荷载时，必须具有经原结构设计单位或具备相应资质设计单位的认可文件（需审查原件）；</w:t>
            </w:r>
          </w:p>
          <w:p w14:paraId="15C5838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2.饰面板后置埋件的现场拉拔力检测报告；</w:t>
            </w:r>
          </w:p>
          <w:p w14:paraId="72B2477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3.质量大于10kg的灯具，要全数提供其固定装置的强度试验记录。</w:t>
            </w:r>
          </w:p>
        </w:tc>
        <w:tc>
          <w:tcPr>
            <w:tcW w:w="2463" w:type="dxa"/>
            <w:tcBorders>
              <w:top w:val="single" w:color="auto" w:sz="4" w:space="0"/>
              <w:left w:val="single" w:color="auto" w:sz="4" w:space="0"/>
              <w:bottom w:val="single" w:color="auto" w:sz="4" w:space="0"/>
              <w:right w:val="single" w:color="auto" w:sz="4" w:space="0"/>
            </w:tcBorders>
            <w:noWrap w:val="0"/>
            <w:vAlign w:val="center"/>
          </w:tcPr>
          <w:p w14:paraId="4DDA813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p>
          <w:p w14:paraId="2BC6976D">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bCs/>
                <w:spacing w:val="0"/>
                <w:szCs w:val="21"/>
              </w:rPr>
              <w:t>1.改动建筑主体、承重结构或增加结构荷载，但未提供相关工程安全证明资料的，扣20分；</w:t>
            </w:r>
          </w:p>
          <w:p w14:paraId="5C1835CE">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2.未提供现场拉拔力检测报告或检测不合格的，扣3～5分；</w:t>
            </w:r>
          </w:p>
          <w:p w14:paraId="458482A8">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3.未提供或所提供的强度试验记录不符合相关规范规定的，扣3～5分。</w:t>
            </w:r>
          </w:p>
        </w:tc>
        <w:tc>
          <w:tcPr>
            <w:tcW w:w="1647" w:type="dxa"/>
            <w:tcBorders>
              <w:left w:val="single" w:color="auto" w:sz="4" w:space="0"/>
              <w:right w:val="single" w:color="auto" w:sz="4" w:space="0"/>
            </w:tcBorders>
            <w:noWrap w:val="0"/>
            <w:vAlign w:val="center"/>
          </w:tcPr>
          <w:p w14:paraId="1E42CFC9">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bCs/>
                <w:spacing w:val="0"/>
                <w:szCs w:val="21"/>
              </w:rPr>
              <w:t>强度试验要按5倍灯具重量的均布荷载，试验时间应不少于15min，固定装置及其部件应无明显变形。</w:t>
            </w:r>
          </w:p>
        </w:tc>
        <w:tc>
          <w:tcPr>
            <w:tcW w:w="851" w:type="dxa"/>
            <w:vMerge w:val="continue"/>
            <w:tcBorders>
              <w:left w:val="single" w:color="auto" w:sz="4" w:space="0"/>
              <w:right w:val="single" w:color="auto" w:sz="4" w:space="0"/>
            </w:tcBorders>
            <w:noWrap w:val="0"/>
            <w:vAlign w:val="center"/>
          </w:tcPr>
          <w:p w14:paraId="5C87460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362" w:type="dxa"/>
            <w:tcBorders>
              <w:top w:val="single" w:color="auto" w:sz="4" w:space="0"/>
              <w:left w:val="single" w:color="auto" w:sz="4" w:space="0"/>
              <w:bottom w:val="single" w:color="auto" w:sz="4" w:space="0"/>
              <w:right w:val="single" w:color="auto" w:sz="4" w:space="0"/>
            </w:tcBorders>
            <w:noWrap w:val="0"/>
            <w:vAlign w:val="center"/>
          </w:tcPr>
          <w:p w14:paraId="129FAC0D">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r w14:paraId="09208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795" w:type="dxa"/>
            <w:vMerge w:val="continue"/>
            <w:tcBorders>
              <w:left w:val="single" w:color="auto" w:sz="4" w:space="0"/>
              <w:bottom w:val="single" w:color="auto" w:sz="4" w:space="0"/>
              <w:right w:val="single" w:color="auto" w:sz="4" w:space="0"/>
            </w:tcBorders>
            <w:noWrap w:val="0"/>
            <w:vAlign w:val="center"/>
          </w:tcPr>
          <w:p w14:paraId="22544E08">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1408" w:type="dxa"/>
            <w:vMerge w:val="continue"/>
            <w:tcBorders>
              <w:left w:val="single" w:color="auto" w:sz="4" w:space="0"/>
              <w:right w:val="single" w:color="auto" w:sz="4" w:space="0"/>
            </w:tcBorders>
            <w:noWrap w:val="0"/>
            <w:vAlign w:val="center"/>
          </w:tcPr>
          <w:p w14:paraId="12CDFF2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4769" w:type="dxa"/>
            <w:tcBorders>
              <w:top w:val="single" w:color="auto" w:sz="4" w:space="0"/>
              <w:left w:val="single" w:color="auto" w:sz="4" w:space="0"/>
              <w:bottom w:val="single" w:color="auto" w:sz="4" w:space="0"/>
              <w:right w:val="single" w:color="auto" w:sz="4" w:space="0"/>
            </w:tcBorders>
            <w:noWrap w:val="0"/>
            <w:vAlign w:val="center"/>
          </w:tcPr>
          <w:p w14:paraId="46FA6E8E">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过程资料：</w:t>
            </w:r>
          </w:p>
          <w:p w14:paraId="2335A760">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1.施工组织设计</w:t>
            </w:r>
          </w:p>
          <w:p w14:paraId="5EB669BD">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2.技术交底记录</w:t>
            </w:r>
          </w:p>
          <w:p w14:paraId="319E9C0E">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3.施工日志</w:t>
            </w:r>
          </w:p>
          <w:p w14:paraId="231AF8D9">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4.主要材料的合格证、检测报告、报验表</w:t>
            </w:r>
          </w:p>
          <w:p w14:paraId="13D9BF1F">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5.主要材料及其性能指标的复试报告：</w:t>
            </w:r>
          </w:p>
          <w:p w14:paraId="18DC363A">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（1）抹灰工程：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砂浆的拉伸粘结强度；</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聚合物砂浆的保水率；</w:t>
            </w:r>
          </w:p>
          <w:p w14:paraId="37E38A16">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（2）门窗工程：人造木板门的甲醛释放量；</w:t>
            </w:r>
          </w:p>
          <w:p w14:paraId="766BA914">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（3）吊顶工程：人造木板的甲醛释放量。</w:t>
            </w:r>
          </w:p>
          <w:p w14:paraId="436D72E5">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（4）轻质隔墙工程：人造木板的甲醛释放量。</w:t>
            </w:r>
          </w:p>
          <w:p w14:paraId="569B5D85">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（5）饰面板工程：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花岗石板的放射性；</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人造木板的甲醛释放量；</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3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③</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水泥基粘结料的粘结强度。</w:t>
            </w:r>
          </w:p>
          <w:p w14:paraId="24EBDC03">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（6）饰面砖工程：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花岗石和瓷质饰面砖的放射性；</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水泥基粘结材料与所用外墙饰面砖的拉伸粘结强度；</w:t>
            </w:r>
          </w:p>
          <w:p w14:paraId="58AB8210">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（7）裱糊与软包工程：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木材含水率；</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人造木板的甲醛释放量。</w:t>
            </w:r>
          </w:p>
          <w:p w14:paraId="1BF7CE9C">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（8）细部工程：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花岗石的放射性；</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人造木板的甲醛释放量。</w:t>
            </w:r>
          </w:p>
          <w:p w14:paraId="687B7F41">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（9）防水工程：防水材料的主要物理指标。</w:t>
            </w:r>
          </w:p>
          <w:p w14:paraId="4F888E55">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（10）给排水工程、电气照明工程、采暖与通风等相关规范要求复试的其他材料及其性能指标。</w:t>
            </w:r>
          </w:p>
          <w:p w14:paraId="4A1CDF6D">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6.隐蔽工程验收记录</w:t>
            </w:r>
          </w:p>
          <w:p w14:paraId="39234186">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（1）抹灰工程：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抹灰总厚度大于或等于35mm时的加强措施；</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不同材料交接处的基底加强措施.</w:t>
            </w:r>
          </w:p>
          <w:p w14:paraId="52F0DE3D">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（2）门窗工程：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预埋件和锚固件；</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隐蔽部位的防腐和填嵌材料；</w:t>
            </w:r>
          </w:p>
          <w:p w14:paraId="6A31B010">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（3）吊顶工程：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吊顶内管道、设备的安装及水管试压、风管严密性检验；</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木龙骨防火、防腐处理；</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3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③</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埋件；</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4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④</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吊杆安装；</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5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⑤</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龙骨安装；</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6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⑥</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填充材料的设置；</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7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⑦</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反支撑及钢结构转换层。</w:t>
            </w:r>
          </w:p>
          <w:p w14:paraId="1A96EFE7">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（4）轻质隔墙工程：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骨架隔墙中设备管线的安装及水管试压；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木龙骨防火和防腐处理；</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3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③</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预埋件或拉结筋；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4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④</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龙骨安装；</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5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⑤</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填充材料的设置。</w:t>
            </w:r>
          </w:p>
          <w:p w14:paraId="30305F1E">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（5）饰面板工程：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预埋件（或后置埋件）；</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龙骨安装；</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3 \* GB3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③</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连接节点。</w:t>
            </w:r>
          </w:p>
          <w:p w14:paraId="54692C25">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（6）饰面砖工程：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基层和基体；</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防水层。</w:t>
            </w:r>
          </w:p>
          <w:p w14:paraId="42E7B274">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（7）裱糊与软包工程：基层封闭底漆、腻子、封闭底胶、及软包内衬材料。</w:t>
            </w:r>
          </w:p>
          <w:p w14:paraId="07EEB36A">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（8）细部工程：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预埋件（或后置埋件）；</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护栏与预埋件的连接节点。</w:t>
            </w:r>
          </w:p>
          <w:p w14:paraId="4EA4BD47">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（9）防水工程：</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1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①</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立管、套管和地漏与楼板节点的加强措施；</w:t>
            </w:r>
            <w:r>
              <w:rPr>
                <w:rFonts w:hint="eastAsia" w:ascii="方正仿宋_GB2312" w:hAnsi="方正仿宋_GB2312" w:eastAsia="方正仿宋_GB2312" w:cs="方正仿宋_GB2312"/>
                <w:spacing w:val="0"/>
                <w:szCs w:val="21"/>
              </w:rPr>
              <w:fldChar w:fldCharType="begin"/>
            </w:r>
            <w:r>
              <w:rPr>
                <w:rFonts w:hint="eastAsia" w:ascii="方正仿宋_GB2312" w:hAnsi="方正仿宋_GB2312" w:eastAsia="方正仿宋_GB2312" w:cs="方正仿宋_GB2312"/>
                <w:spacing w:val="0"/>
                <w:szCs w:val="21"/>
              </w:rPr>
              <w:instrText xml:space="preserve"> = 2 \* GB3 \* MERGEFORMAT </w:instrText>
            </w:r>
            <w:r>
              <w:rPr>
                <w:rFonts w:hint="eastAsia" w:ascii="方正仿宋_GB2312" w:hAnsi="方正仿宋_GB2312" w:eastAsia="方正仿宋_GB2312" w:cs="方正仿宋_GB2312"/>
                <w:spacing w:val="0"/>
                <w:szCs w:val="21"/>
              </w:rPr>
              <w:fldChar w:fldCharType="separate"/>
            </w:r>
            <w:r>
              <w:rPr>
                <w:rFonts w:hint="eastAsia" w:ascii="方正仿宋_GB2312" w:hAnsi="方正仿宋_GB2312" w:eastAsia="方正仿宋_GB2312" w:cs="方正仿宋_GB2312"/>
                <w:spacing w:val="0"/>
                <w:szCs w:val="21"/>
              </w:rPr>
              <w:t>②</w:t>
            </w:r>
            <w:r>
              <w:rPr>
                <w:rFonts w:hint="eastAsia" w:ascii="方正仿宋_GB2312" w:hAnsi="方正仿宋_GB2312" w:eastAsia="方正仿宋_GB2312" w:cs="方正仿宋_GB2312"/>
                <w:spacing w:val="0"/>
                <w:szCs w:val="21"/>
              </w:rPr>
              <w:fldChar w:fldCharType="end"/>
            </w:r>
            <w:r>
              <w:rPr>
                <w:rFonts w:hint="eastAsia" w:ascii="方正仿宋_GB2312" w:hAnsi="方正仿宋_GB2312" w:eastAsia="方正仿宋_GB2312" w:cs="方正仿宋_GB2312"/>
                <w:spacing w:val="0"/>
                <w:szCs w:val="21"/>
              </w:rPr>
              <w:t>两次蓄水试验记录。</w:t>
            </w:r>
          </w:p>
          <w:p w14:paraId="632B41BE">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（10）给排水工程、电气照明工程、采暖与通风工程相关规范要求的隐蔽工程验收资料。</w:t>
            </w:r>
          </w:p>
          <w:p w14:paraId="42BE51D8">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7.质量验收记录</w:t>
            </w:r>
          </w:p>
          <w:p w14:paraId="60720CAB">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（1）检验批验收记录；</w:t>
            </w:r>
          </w:p>
          <w:p w14:paraId="47DDB94F">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（2）分项工程验收记录；</w:t>
            </w:r>
          </w:p>
          <w:p w14:paraId="0B0E0CE4">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（3）分部（子分部）工程验收记录；</w:t>
            </w:r>
          </w:p>
          <w:p w14:paraId="64FE6A26">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（4）分户验收记录。</w:t>
            </w:r>
          </w:p>
          <w:p w14:paraId="0B7D808F">
            <w:pPr>
              <w:keepNext w:val="0"/>
              <w:keepLines w:val="0"/>
              <w:pageBreakBefore w:val="0"/>
              <w:widowControl w:val="0"/>
              <w:kinsoku/>
              <w:wordWrap/>
              <w:overflowPunct/>
              <w:topLinePunct w:val="0"/>
              <w:bidi w:val="0"/>
              <w:snapToGrid/>
              <w:spacing w:line="240" w:lineRule="auto"/>
              <w:ind w:firstLine="31" w:firstLineChars="15"/>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8.竣工图</w:t>
            </w:r>
          </w:p>
        </w:tc>
        <w:tc>
          <w:tcPr>
            <w:tcW w:w="2463" w:type="dxa"/>
            <w:tcBorders>
              <w:top w:val="single" w:color="auto" w:sz="4" w:space="0"/>
              <w:left w:val="single" w:color="auto" w:sz="4" w:space="0"/>
              <w:bottom w:val="single" w:color="auto" w:sz="4" w:space="0"/>
              <w:right w:val="single" w:color="auto" w:sz="4" w:space="0"/>
            </w:tcBorders>
            <w:noWrap w:val="0"/>
            <w:vAlign w:val="center"/>
          </w:tcPr>
          <w:p w14:paraId="29BE60B0">
            <w:pPr>
              <w:pStyle w:val="46"/>
              <w:keepNext w:val="0"/>
              <w:keepLines w:val="0"/>
              <w:pageBreakBefore w:val="0"/>
              <w:widowControl w:val="0"/>
              <w:kinsoku/>
              <w:wordWrap/>
              <w:overflowPunct/>
              <w:topLinePunct w:val="0"/>
              <w:bidi w:val="0"/>
              <w:snapToGrid/>
              <w:spacing w:line="240" w:lineRule="auto"/>
              <w:ind w:left="6"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1.每类过程资料缺项或有重大错误的扣3分；</w:t>
            </w:r>
          </w:p>
          <w:p w14:paraId="2DDBB196">
            <w:pPr>
              <w:pStyle w:val="46"/>
              <w:keepNext w:val="0"/>
              <w:keepLines w:val="0"/>
              <w:pageBreakBefore w:val="0"/>
              <w:widowControl w:val="0"/>
              <w:kinsoku/>
              <w:wordWrap/>
              <w:overflowPunct/>
              <w:topLinePunct w:val="0"/>
              <w:bidi w:val="0"/>
              <w:snapToGrid/>
              <w:spacing w:line="240" w:lineRule="auto"/>
              <w:ind w:left="6"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2.其它工程资料不符合要求的，每项扣0.5～2分。</w:t>
            </w:r>
          </w:p>
        </w:tc>
        <w:tc>
          <w:tcPr>
            <w:tcW w:w="1647" w:type="dxa"/>
            <w:tcBorders>
              <w:left w:val="single" w:color="auto" w:sz="4" w:space="0"/>
              <w:right w:val="single" w:color="auto" w:sz="4" w:space="0"/>
            </w:tcBorders>
            <w:noWrap w:val="0"/>
            <w:vAlign w:val="center"/>
          </w:tcPr>
          <w:p w14:paraId="66F082B9">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1.工程不涉及某类资料时，不作为该类资料缺项而扣分；</w:t>
            </w:r>
          </w:p>
          <w:p w14:paraId="415931F9">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2.过程资料缺项、不齐全或不符合要求；</w:t>
            </w:r>
          </w:p>
          <w:p w14:paraId="222F08EC">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3.施工组织设计应内容完整、具有针对性，所依据的标准正确、有效，施工方法合理、技术措施得当；编制、审核、审批人员的身份应符合的相关要求，签章应齐全。</w:t>
            </w:r>
          </w:p>
          <w:p w14:paraId="467E5647">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6"/>
                <w:sz w:val="21"/>
                <w:szCs w:val="21"/>
              </w:rPr>
            </w:pPr>
            <w:r>
              <w:rPr>
                <w:rFonts w:hint="eastAsia" w:ascii="方正仿宋_GB2312" w:hAnsi="方正仿宋_GB2312" w:eastAsia="方正仿宋_GB2312" w:cs="方正仿宋_GB2312"/>
                <w:spacing w:val="0"/>
                <w:szCs w:val="21"/>
              </w:rPr>
              <w:t>4.施工技术交底记录应完整，内容要与工程实际</w:t>
            </w:r>
            <w:r>
              <w:rPr>
                <w:rFonts w:hint="eastAsia" w:ascii="方正仿宋_GB2312" w:hAnsi="方正仿宋_GB2312" w:eastAsia="方正仿宋_GB2312" w:cs="方正仿宋_GB2312"/>
                <w:spacing w:val="-6"/>
                <w:sz w:val="21"/>
                <w:szCs w:val="21"/>
              </w:rPr>
              <w:t>施工相吻合；</w:t>
            </w:r>
          </w:p>
          <w:p w14:paraId="793DA6C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6"/>
                <w:sz w:val="21"/>
                <w:szCs w:val="21"/>
              </w:rPr>
              <w:t>交底人、被交底人签字及日期齐全。</w:t>
            </w:r>
          </w:p>
          <w:p w14:paraId="7478FE18">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5.施工日志所记载的内容应齐全，时间范围应覆盖整个施工周期；所记载的内容应与工程其他资料项吻合，能够相互印证。</w:t>
            </w:r>
          </w:p>
        </w:tc>
        <w:tc>
          <w:tcPr>
            <w:tcW w:w="851" w:type="dxa"/>
            <w:vMerge w:val="continue"/>
            <w:tcBorders>
              <w:left w:val="single" w:color="auto" w:sz="4" w:space="0"/>
              <w:right w:val="single" w:color="auto" w:sz="4" w:space="0"/>
            </w:tcBorders>
            <w:noWrap w:val="0"/>
            <w:vAlign w:val="center"/>
          </w:tcPr>
          <w:p w14:paraId="57225A30">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2362" w:type="dxa"/>
            <w:tcBorders>
              <w:top w:val="single" w:color="auto" w:sz="4" w:space="0"/>
              <w:left w:val="single" w:color="auto" w:sz="4" w:space="0"/>
              <w:bottom w:val="single" w:color="auto" w:sz="4" w:space="0"/>
              <w:right w:val="single" w:color="auto" w:sz="4" w:space="0"/>
            </w:tcBorders>
            <w:noWrap w:val="0"/>
            <w:vAlign w:val="center"/>
          </w:tcPr>
          <w:p w14:paraId="71448D2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结合工程实体查相关资料</w:t>
            </w:r>
          </w:p>
        </w:tc>
      </w:tr>
      <w:tr w14:paraId="406BA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7" w:hRule="atLeast"/>
        </w:trPr>
        <w:tc>
          <w:tcPr>
            <w:tcW w:w="795" w:type="dxa"/>
            <w:tcBorders>
              <w:left w:val="single" w:color="auto" w:sz="4" w:space="0"/>
              <w:right w:val="single" w:color="auto" w:sz="4" w:space="0"/>
            </w:tcBorders>
            <w:noWrap w:val="0"/>
            <w:vAlign w:val="center"/>
          </w:tcPr>
          <w:p w14:paraId="3AD99719">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w:t>
            </w:r>
          </w:p>
        </w:tc>
        <w:tc>
          <w:tcPr>
            <w:tcW w:w="1408" w:type="dxa"/>
            <w:tcBorders>
              <w:top w:val="single" w:color="auto" w:sz="4" w:space="0"/>
              <w:left w:val="single" w:color="auto" w:sz="4" w:space="0"/>
              <w:right w:val="single" w:color="auto" w:sz="4" w:space="0"/>
            </w:tcBorders>
            <w:noWrap w:val="0"/>
            <w:vAlign w:val="center"/>
          </w:tcPr>
          <w:p w14:paraId="1AA5508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工程实体</w:t>
            </w:r>
          </w:p>
        </w:tc>
        <w:tc>
          <w:tcPr>
            <w:tcW w:w="4769" w:type="dxa"/>
            <w:tcBorders>
              <w:top w:val="single" w:color="auto" w:sz="4" w:space="0"/>
              <w:left w:val="single" w:color="auto" w:sz="4" w:space="0"/>
              <w:right w:val="single" w:color="auto" w:sz="4" w:space="0"/>
            </w:tcBorders>
            <w:noWrap w:val="0"/>
            <w:vAlign w:val="center"/>
          </w:tcPr>
          <w:p w14:paraId="3086F753">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1.</w:t>
            </w:r>
            <w:r>
              <w:rPr>
                <w:rFonts w:hint="eastAsia" w:ascii="方正仿宋_GB2312" w:hAnsi="方正仿宋_GB2312" w:eastAsia="方正仿宋_GB2312" w:cs="方正仿宋_GB2312"/>
                <w:spacing w:val="0"/>
                <w:szCs w:val="21"/>
              </w:rPr>
              <w:t>承重结构和受力钢筋；</w:t>
            </w:r>
          </w:p>
          <w:p w14:paraId="73DB24AB">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2.</w:t>
            </w:r>
            <w:r>
              <w:rPr>
                <w:rFonts w:hint="eastAsia" w:ascii="方正仿宋_GB2312" w:hAnsi="方正仿宋_GB2312" w:eastAsia="方正仿宋_GB2312" w:cs="方正仿宋_GB2312"/>
                <w:spacing w:val="0"/>
                <w:szCs w:val="21"/>
              </w:rPr>
              <w:t>厨房、消防楼梯间及前室、水平疏散通道装修材料的燃烧性能等级；</w:t>
            </w:r>
          </w:p>
          <w:p w14:paraId="7B2D3AD0">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3.</w:t>
            </w:r>
            <w:r>
              <w:rPr>
                <w:rFonts w:hint="eastAsia" w:ascii="方正仿宋_GB2312" w:hAnsi="方正仿宋_GB2312" w:eastAsia="方正仿宋_GB2312" w:cs="方正仿宋_GB2312"/>
                <w:spacing w:val="0"/>
                <w:szCs w:val="21"/>
              </w:rPr>
              <w:t>窗台高度及防护栏杆；</w:t>
            </w:r>
          </w:p>
          <w:p w14:paraId="5E7B0E8C">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4.</w:t>
            </w:r>
            <w:r>
              <w:rPr>
                <w:rFonts w:hint="eastAsia" w:ascii="方正仿宋_GB2312" w:hAnsi="方正仿宋_GB2312" w:eastAsia="方正仿宋_GB2312" w:cs="方正仿宋_GB2312"/>
                <w:spacing w:val="0"/>
                <w:szCs w:val="21"/>
              </w:rPr>
              <w:t>阳台、楼梯、走道防护栏杆高度、构造、竖向杆件间距、玻璃品种及规格；</w:t>
            </w:r>
          </w:p>
          <w:p w14:paraId="5F66B21F">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5.</w:t>
            </w:r>
            <w:r>
              <w:rPr>
                <w:rFonts w:hint="eastAsia" w:ascii="方正仿宋_GB2312" w:hAnsi="方正仿宋_GB2312" w:eastAsia="方正仿宋_GB2312" w:cs="方正仿宋_GB2312"/>
                <w:spacing w:val="0"/>
                <w:szCs w:val="21"/>
              </w:rPr>
              <w:t>配电箱及开关插座的性能、电气线路接线、卫生间等电位联接、大型灯具的固定装置；</w:t>
            </w:r>
          </w:p>
          <w:p w14:paraId="0A7FE365">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6.</w:t>
            </w:r>
            <w:r>
              <w:rPr>
                <w:rFonts w:hint="eastAsia" w:ascii="方正仿宋_GB2312" w:hAnsi="方正仿宋_GB2312" w:eastAsia="方正仿宋_GB2312" w:cs="方正仿宋_GB2312"/>
                <w:spacing w:val="0"/>
                <w:szCs w:val="21"/>
              </w:rPr>
              <w:t>干挂石材、瓷砖墙面的构造及墙地面瓷砖空鼓率、平整度；</w:t>
            </w:r>
          </w:p>
          <w:p w14:paraId="28F59B18">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7.</w:t>
            </w:r>
            <w:r>
              <w:rPr>
                <w:rFonts w:hint="eastAsia" w:ascii="方正仿宋_GB2312" w:hAnsi="方正仿宋_GB2312" w:eastAsia="方正仿宋_GB2312" w:cs="方正仿宋_GB2312"/>
                <w:spacing w:val="0"/>
                <w:szCs w:val="21"/>
              </w:rPr>
              <w:t>淋浴玻璃隔断的构造、玻璃品种及规格；</w:t>
            </w:r>
          </w:p>
          <w:p w14:paraId="578C0E9A">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8.</w:t>
            </w:r>
            <w:r>
              <w:rPr>
                <w:rFonts w:hint="eastAsia" w:ascii="方正仿宋_GB2312" w:hAnsi="方正仿宋_GB2312" w:eastAsia="方正仿宋_GB2312" w:cs="方正仿宋_GB2312"/>
                <w:spacing w:val="0"/>
                <w:szCs w:val="21"/>
              </w:rPr>
              <w:t>消火栓暗门；</w:t>
            </w:r>
          </w:p>
          <w:p w14:paraId="73A21D9D">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9.</w:t>
            </w:r>
            <w:r>
              <w:rPr>
                <w:rFonts w:hint="eastAsia" w:ascii="方正仿宋_GB2312" w:hAnsi="方正仿宋_GB2312" w:eastAsia="方正仿宋_GB2312" w:cs="方正仿宋_GB2312"/>
                <w:spacing w:val="0"/>
                <w:szCs w:val="21"/>
              </w:rPr>
              <w:t>燃气管道、共用竖向烟道</w:t>
            </w:r>
          </w:p>
          <w:p w14:paraId="7DB3F65C">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10.</w:t>
            </w:r>
            <w:r>
              <w:rPr>
                <w:rFonts w:hint="eastAsia" w:ascii="方正仿宋_GB2312" w:hAnsi="方正仿宋_GB2312" w:eastAsia="方正仿宋_GB2312" w:cs="方正仿宋_GB2312"/>
                <w:spacing w:val="0"/>
                <w:szCs w:val="21"/>
              </w:rPr>
              <w:t>卫生间、厨房、阳台防水性能以及与相邻室内地面的高差，室内异味；</w:t>
            </w:r>
          </w:p>
          <w:p w14:paraId="0C56429D">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11.</w:t>
            </w:r>
            <w:r>
              <w:rPr>
                <w:rFonts w:hint="eastAsia" w:ascii="方正仿宋_GB2312" w:hAnsi="方正仿宋_GB2312" w:eastAsia="方正仿宋_GB2312" w:cs="方正仿宋_GB2312"/>
                <w:spacing w:val="0"/>
                <w:szCs w:val="21"/>
              </w:rPr>
              <w:t>厨房、卫生间、敞开式阳台、连廊、架空层地面材料的防滑性能；</w:t>
            </w:r>
          </w:p>
          <w:p w14:paraId="58A2D8D6">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12.</w:t>
            </w:r>
            <w:r>
              <w:rPr>
                <w:rFonts w:hint="eastAsia" w:ascii="方正仿宋_GB2312" w:hAnsi="方正仿宋_GB2312" w:eastAsia="方正仿宋_GB2312" w:cs="方正仿宋_GB2312"/>
                <w:spacing w:val="0"/>
                <w:szCs w:val="21"/>
              </w:rPr>
              <w:t>无障碍设计；</w:t>
            </w:r>
          </w:p>
          <w:p w14:paraId="4FCB36E8">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13.</w:t>
            </w:r>
            <w:r>
              <w:rPr>
                <w:rFonts w:hint="eastAsia" w:ascii="方正仿宋_GB2312" w:hAnsi="方正仿宋_GB2312" w:eastAsia="方正仿宋_GB2312" w:cs="方正仿宋_GB2312"/>
                <w:bCs/>
                <w:spacing w:val="0"/>
                <w:szCs w:val="21"/>
              </w:rPr>
              <w:t>违反国家现行标准强制性条文规定的情形；</w:t>
            </w:r>
          </w:p>
          <w:p w14:paraId="567D2660">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14.</w:t>
            </w:r>
            <w:r>
              <w:rPr>
                <w:rFonts w:hint="eastAsia" w:ascii="方正仿宋_GB2312" w:hAnsi="方正仿宋_GB2312" w:eastAsia="方正仿宋_GB2312" w:cs="方正仿宋_GB2312"/>
                <w:bCs/>
                <w:spacing w:val="0"/>
                <w:szCs w:val="21"/>
              </w:rPr>
              <w:t>影响工程使用安全的其他情形；</w:t>
            </w:r>
          </w:p>
          <w:p w14:paraId="55EEB1AD">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15.</w:t>
            </w:r>
            <w:r>
              <w:rPr>
                <w:rFonts w:hint="eastAsia" w:ascii="方正仿宋_GB2312" w:hAnsi="方正仿宋_GB2312" w:eastAsia="方正仿宋_GB2312" w:cs="方正仿宋_GB2312"/>
                <w:bCs/>
                <w:spacing w:val="0"/>
                <w:szCs w:val="21"/>
              </w:rPr>
              <w:t>影响工程使用功能的其他情形；</w:t>
            </w:r>
          </w:p>
          <w:p w14:paraId="49EAA95A">
            <w:pPr>
              <w:keepNext w:val="0"/>
              <w:keepLines w:val="0"/>
              <w:pageBreakBefore w:val="0"/>
              <w:widowControl w:val="0"/>
              <w:numPr>
                <w:ilvl w:val="0"/>
                <w:numId w:val="0"/>
              </w:numPr>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kern w:val="2"/>
                <w:sz w:val="21"/>
                <w:szCs w:val="21"/>
                <w:lang w:val="en-US" w:eastAsia="zh-CN" w:bidi="ar-SA"/>
              </w:rPr>
              <w:t>16.</w:t>
            </w:r>
            <w:r>
              <w:rPr>
                <w:rFonts w:hint="eastAsia" w:ascii="方正仿宋_GB2312" w:hAnsi="方正仿宋_GB2312" w:eastAsia="方正仿宋_GB2312" w:cs="方正仿宋_GB2312"/>
                <w:spacing w:val="0"/>
                <w:szCs w:val="21"/>
              </w:rPr>
              <w:t>其它质量缺陷。</w:t>
            </w:r>
          </w:p>
          <w:p w14:paraId="55DB63ED">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 w:val="24"/>
              </w:rPr>
            </w:pPr>
          </w:p>
        </w:tc>
        <w:tc>
          <w:tcPr>
            <w:tcW w:w="2463" w:type="dxa"/>
            <w:tcBorders>
              <w:top w:val="single" w:color="auto" w:sz="4" w:space="0"/>
              <w:left w:val="single" w:color="auto" w:sz="4" w:space="0"/>
              <w:right w:val="single" w:color="auto" w:sz="4" w:space="0"/>
            </w:tcBorders>
            <w:noWrap w:val="0"/>
            <w:vAlign w:val="center"/>
          </w:tcPr>
          <w:p w14:paraId="35720CCB">
            <w:pPr>
              <w:keepNext w:val="0"/>
              <w:keepLines w:val="0"/>
              <w:pageBreakBefore w:val="0"/>
              <w:widowControl w:val="0"/>
              <w:numPr>
                <w:ilvl w:val="0"/>
                <w:numId w:val="0"/>
              </w:numPr>
              <w:kinsoku/>
              <w:wordWrap/>
              <w:overflowPunct/>
              <w:topLinePunct w:val="0"/>
              <w:bidi w:val="0"/>
              <w:snapToGrid/>
              <w:spacing w:line="240" w:lineRule="auto"/>
              <w:ind w:left="0" w:leftChars="0" w:firstLine="0"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1.</w:t>
            </w:r>
            <w:r>
              <w:rPr>
                <w:rFonts w:hint="eastAsia" w:ascii="方正仿宋_GB2312" w:hAnsi="方正仿宋_GB2312" w:eastAsia="方正仿宋_GB2312" w:cs="方正仿宋_GB2312"/>
                <w:spacing w:val="0"/>
                <w:szCs w:val="21"/>
              </w:rPr>
              <w:t>如有擅自改动或破坏承重结构、受力钢筋的，扣20分。</w:t>
            </w:r>
          </w:p>
          <w:p w14:paraId="1626CF06">
            <w:pPr>
              <w:keepNext w:val="0"/>
              <w:keepLines w:val="0"/>
              <w:pageBreakBefore w:val="0"/>
              <w:widowControl w:val="0"/>
              <w:numPr>
                <w:ilvl w:val="0"/>
                <w:numId w:val="0"/>
              </w:numPr>
              <w:kinsoku/>
              <w:wordWrap/>
              <w:overflowPunct/>
              <w:topLinePunct w:val="0"/>
              <w:bidi w:val="0"/>
              <w:snapToGrid/>
              <w:spacing w:line="240" w:lineRule="auto"/>
              <w:ind w:left="0" w:leftChars="0" w:firstLine="0"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2.</w:t>
            </w:r>
            <w:r>
              <w:rPr>
                <w:rFonts w:hint="eastAsia" w:ascii="方正仿宋_GB2312" w:hAnsi="方正仿宋_GB2312" w:eastAsia="方正仿宋_GB2312" w:cs="方正仿宋_GB2312"/>
                <w:bCs/>
                <w:spacing w:val="0"/>
                <w:szCs w:val="21"/>
              </w:rPr>
              <w:t>厨房、消防楼梯间及前室、水平疏散通道装修材料的燃烧性能等级低于A级的，扣10分。</w:t>
            </w:r>
          </w:p>
          <w:p w14:paraId="01963138">
            <w:pPr>
              <w:keepNext w:val="0"/>
              <w:keepLines w:val="0"/>
              <w:pageBreakBefore w:val="0"/>
              <w:widowControl w:val="0"/>
              <w:numPr>
                <w:ilvl w:val="0"/>
                <w:numId w:val="0"/>
              </w:numPr>
              <w:kinsoku/>
              <w:wordWrap/>
              <w:overflowPunct/>
              <w:topLinePunct w:val="0"/>
              <w:bidi w:val="0"/>
              <w:snapToGrid/>
              <w:spacing w:line="240" w:lineRule="auto"/>
              <w:ind w:left="0" w:leftChars="0" w:firstLine="0"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3.</w:t>
            </w:r>
            <w:r>
              <w:rPr>
                <w:rFonts w:hint="eastAsia" w:ascii="方正仿宋_GB2312" w:hAnsi="方正仿宋_GB2312" w:eastAsia="方正仿宋_GB2312" w:cs="方正仿宋_GB2312"/>
                <w:spacing w:val="0"/>
                <w:szCs w:val="21"/>
              </w:rPr>
              <w:t>窗台高度及栏杆不符合国家现行标准规定的，扣5～10分；</w:t>
            </w:r>
          </w:p>
          <w:p w14:paraId="61B54776">
            <w:pPr>
              <w:keepNext w:val="0"/>
              <w:keepLines w:val="0"/>
              <w:pageBreakBefore w:val="0"/>
              <w:widowControl w:val="0"/>
              <w:numPr>
                <w:ilvl w:val="0"/>
                <w:numId w:val="0"/>
              </w:numPr>
              <w:kinsoku/>
              <w:wordWrap/>
              <w:overflowPunct/>
              <w:topLinePunct w:val="0"/>
              <w:bidi w:val="0"/>
              <w:snapToGrid/>
              <w:spacing w:line="240" w:lineRule="auto"/>
              <w:ind w:left="0" w:leftChars="0" w:firstLine="0"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4.</w:t>
            </w:r>
            <w:r>
              <w:rPr>
                <w:rFonts w:hint="eastAsia" w:ascii="方正仿宋_GB2312" w:hAnsi="方正仿宋_GB2312" w:eastAsia="方正仿宋_GB2312" w:cs="方正仿宋_GB2312"/>
                <w:spacing w:val="0"/>
                <w:szCs w:val="21"/>
              </w:rPr>
              <w:t>阳台、楼梯、走道防护栏杆高度、构造、竖向杆件间距、玻璃品种及规格不符合国家现行标准规定的，扣5～10分；</w:t>
            </w:r>
          </w:p>
          <w:p w14:paraId="1C39B192">
            <w:pPr>
              <w:keepNext w:val="0"/>
              <w:keepLines w:val="0"/>
              <w:pageBreakBefore w:val="0"/>
              <w:widowControl w:val="0"/>
              <w:numPr>
                <w:ilvl w:val="0"/>
                <w:numId w:val="0"/>
              </w:numPr>
              <w:kinsoku/>
              <w:wordWrap/>
              <w:overflowPunct/>
              <w:topLinePunct w:val="0"/>
              <w:bidi w:val="0"/>
              <w:snapToGrid/>
              <w:spacing w:line="240" w:lineRule="auto"/>
              <w:ind w:left="0" w:leftChars="0" w:firstLine="0"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5.</w:t>
            </w:r>
            <w:r>
              <w:rPr>
                <w:rFonts w:hint="eastAsia" w:ascii="方正仿宋_GB2312" w:hAnsi="方正仿宋_GB2312" w:eastAsia="方正仿宋_GB2312" w:cs="方正仿宋_GB2312"/>
                <w:spacing w:val="0"/>
                <w:szCs w:val="21"/>
              </w:rPr>
              <w:t>配电箱及开关插座的性能、电气线路接线、卫生间等电位联接、大型吊灯的荷载试验记录不符合国家现行标准规定的，扣5～10分；</w:t>
            </w:r>
          </w:p>
          <w:p w14:paraId="37533BB6">
            <w:pPr>
              <w:keepNext w:val="0"/>
              <w:keepLines w:val="0"/>
              <w:pageBreakBefore w:val="0"/>
              <w:widowControl w:val="0"/>
              <w:numPr>
                <w:ilvl w:val="0"/>
                <w:numId w:val="0"/>
              </w:numPr>
              <w:kinsoku/>
              <w:wordWrap/>
              <w:overflowPunct/>
              <w:topLinePunct w:val="0"/>
              <w:bidi w:val="0"/>
              <w:snapToGrid/>
              <w:spacing w:line="240" w:lineRule="auto"/>
              <w:ind w:left="33" w:leftChars="0" w:hanging="33"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6.</w:t>
            </w:r>
            <w:r>
              <w:rPr>
                <w:rFonts w:hint="eastAsia" w:ascii="方正仿宋_GB2312" w:hAnsi="方正仿宋_GB2312" w:eastAsia="方正仿宋_GB2312" w:cs="方正仿宋_GB2312"/>
                <w:spacing w:val="0"/>
                <w:szCs w:val="21"/>
              </w:rPr>
              <w:t>石材、瓷砖直接采用胶粘方式固定在粉刷层或钢架上的扣5分；</w:t>
            </w:r>
          </w:p>
          <w:p w14:paraId="5FA71F48">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空鼓率超标、平整度欠佳的扣0.5～3分。</w:t>
            </w:r>
          </w:p>
          <w:p w14:paraId="5E478CAD">
            <w:pPr>
              <w:pStyle w:val="46"/>
              <w:keepNext w:val="0"/>
              <w:keepLines w:val="0"/>
              <w:pageBreakBefore w:val="0"/>
              <w:widowControl w:val="0"/>
              <w:numPr>
                <w:ilvl w:val="0"/>
                <w:numId w:val="0"/>
              </w:numPr>
              <w:kinsoku/>
              <w:wordWrap/>
              <w:overflowPunct/>
              <w:topLinePunct w:val="0"/>
              <w:bidi w:val="0"/>
              <w:snapToGrid/>
              <w:spacing w:line="240" w:lineRule="auto"/>
              <w:ind w:left="33" w:leftChars="0" w:hanging="33"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7.</w:t>
            </w:r>
            <w:r>
              <w:rPr>
                <w:rFonts w:hint="eastAsia" w:ascii="方正仿宋_GB2312" w:hAnsi="方正仿宋_GB2312" w:eastAsia="方正仿宋_GB2312" w:cs="方正仿宋_GB2312"/>
                <w:spacing w:val="0"/>
                <w:szCs w:val="21"/>
              </w:rPr>
              <w:t>淋浴玻璃隔断未使用安全玻璃的扣5分；使用的安全玻璃厚度不符合国家现行标准规定的扣3分。</w:t>
            </w:r>
          </w:p>
          <w:p w14:paraId="312560F6">
            <w:pPr>
              <w:pStyle w:val="46"/>
              <w:keepNext w:val="0"/>
              <w:keepLines w:val="0"/>
              <w:pageBreakBefore w:val="0"/>
              <w:widowControl w:val="0"/>
              <w:numPr>
                <w:ilvl w:val="0"/>
                <w:numId w:val="0"/>
              </w:numPr>
              <w:kinsoku/>
              <w:wordWrap/>
              <w:overflowPunct/>
              <w:topLinePunct w:val="0"/>
              <w:bidi w:val="0"/>
              <w:snapToGrid/>
              <w:spacing w:line="240" w:lineRule="auto"/>
              <w:ind w:left="33" w:leftChars="0" w:hanging="33"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8.</w:t>
            </w:r>
            <w:r>
              <w:rPr>
                <w:rFonts w:hint="eastAsia" w:ascii="方正仿宋_GB2312" w:hAnsi="方正仿宋_GB2312" w:eastAsia="方正仿宋_GB2312" w:cs="方正仿宋_GB2312"/>
                <w:spacing w:val="0"/>
                <w:szCs w:val="21"/>
              </w:rPr>
              <w:t>消火栓暗门无标识、无拉手、开启不便扣2分；开启方向错误、钢架或钢架与结构之间的间隙没有封闭、标识不明显的扣0.5～1分。</w:t>
            </w:r>
          </w:p>
          <w:p w14:paraId="138D5F74">
            <w:pPr>
              <w:pStyle w:val="46"/>
              <w:keepNext w:val="0"/>
              <w:keepLines w:val="0"/>
              <w:pageBreakBefore w:val="0"/>
              <w:widowControl w:val="0"/>
              <w:numPr>
                <w:ilvl w:val="0"/>
                <w:numId w:val="0"/>
              </w:numPr>
              <w:kinsoku/>
              <w:wordWrap/>
              <w:overflowPunct/>
              <w:topLinePunct w:val="0"/>
              <w:bidi w:val="0"/>
              <w:snapToGrid/>
              <w:spacing w:line="240" w:lineRule="auto"/>
              <w:ind w:left="33" w:leftChars="0" w:hanging="33" w:firstLineChars="0"/>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9.</w:t>
            </w:r>
            <w:r>
              <w:rPr>
                <w:rFonts w:hint="eastAsia" w:ascii="方正仿宋_GB2312" w:hAnsi="方正仿宋_GB2312" w:eastAsia="方正仿宋_GB2312" w:cs="方正仿宋_GB2312"/>
                <w:spacing w:val="0"/>
                <w:szCs w:val="21"/>
              </w:rPr>
              <w:t>改</w:t>
            </w:r>
            <w:r>
              <w:rPr>
                <w:rFonts w:hint="eastAsia" w:ascii="方正仿宋_GB2312" w:hAnsi="方正仿宋_GB2312" w:eastAsia="方正仿宋_GB2312" w:cs="方正仿宋_GB2312"/>
                <w:spacing w:val="-6"/>
                <w:sz w:val="21"/>
                <w:szCs w:val="21"/>
              </w:rPr>
              <w:t>动或破坏燃气管道、共用竖向烟道的，扣5分；</w:t>
            </w:r>
          </w:p>
          <w:p w14:paraId="05E4378B">
            <w:pPr>
              <w:keepNext w:val="0"/>
              <w:keepLines w:val="0"/>
              <w:pageBreakBefore w:val="0"/>
              <w:widowControl w:val="0"/>
              <w:numPr>
                <w:ilvl w:val="0"/>
                <w:numId w:val="0"/>
              </w:numPr>
              <w:kinsoku/>
              <w:wordWrap/>
              <w:overflowPunct/>
              <w:topLinePunct w:val="0"/>
              <w:bidi w:val="0"/>
              <w:snapToGrid/>
              <w:spacing w:line="240" w:lineRule="auto"/>
              <w:ind w:left="33" w:leftChars="0" w:hanging="33"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10.</w:t>
            </w:r>
            <w:r>
              <w:rPr>
                <w:rFonts w:hint="eastAsia" w:ascii="方正仿宋_GB2312" w:hAnsi="方正仿宋_GB2312" w:eastAsia="方正仿宋_GB2312" w:cs="方正仿宋_GB2312"/>
                <w:spacing w:val="0"/>
                <w:szCs w:val="21"/>
              </w:rPr>
              <w:t>卫生间、厨房、阳台渗水或有异味的扣1～5分；与相邻室内地面的高差不符合国家现行标准规定、地漏位置及泛水坡向不正确、地面积水的扣1分。</w:t>
            </w:r>
          </w:p>
          <w:p w14:paraId="23CBDC0A">
            <w:pPr>
              <w:keepNext w:val="0"/>
              <w:keepLines w:val="0"/>
              <w:pageBreakBefore w:val="0"/>
              <w:widowControl w:val="0"/>
              <w:numPr>
                <w:ilvl w:val="0"/>
                <w:numId w:val="0"/>
              </w:numPr>
              <w:kinsoku/>
              <w:wordWrap/>
              <w:overflowPunct/>
              <w:topLinePunct w:val="0"/>
              <w:bidi w:val="0"/>
              <w:snapToGrid/>
              <w:spacing w:line="240" w:lineRule="auto"/>
              <w:ind w:left="33" w:leftChars="0" w:hanging="33"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11.</w:t>
            </w:r>
            <w:r>
              <w:rPr>
                <w:rFonts w:hint="eastAsia" w:ascii="方正仿宋_GB2312" w:hAnsi="方正仿宋_GB2312" w:eastAsia="方正仿宋_GB2312" w:cs="方正仿宋_GB2312"/>
                <w:spacing w:val="0"/>
                <w:szCs w:val="21"/>
              </w:rPr>
              <w:t>厨房、卫生间、敞开式阳台、连廊、架空层地面材料的防滑性能不符合国家现行标准规定的，扣1～3分；</w:t>
            </w:r>
          </w:p>
          <w:p w14:paraId="44E03A20">
            <w:pPr>
              <w:keepNext w:val="0"/>
              <w:keepLines w:val="0"/>
              <w:pageBreakBefore w:val="0"/>
              <w:widowControl w:val="0"/>
              <w:numPr>
                <w:ilvl w:val="0"/>
                <w:numId w:val="0"/>
              </w:numPr>
              <w:kinsoku/>
              <w:wordWrap/>
              <w:overflowPunct/>
              <w:topLinePunct w:val="0"/>
              <w:bidi w:val="0"/>
              <w:snapToGrid/>
              <w:spacing w:line="240" w:lineRule="auto"/>
              <w:ind w:left="33" w:leftChars="0" w:hanging="33"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12.</w:t>
            </w:r>
            <w:r>
              <w:rPr>
                <w:rFonts w:hint="eastAsia" w:ascii="方正仿宋_GB2312" w:hAnsi="方正仿宋_GB2312" w:eastAsia="方正仿宋_GB2312" w:cs="方正仿宋_GB2312"/>
                <w:spacing w:val="0"/>
                <w:szCs w:val="21"/>
              </w:rPr>
              <w:t>七层及七层以上住宅的建筑出入口、出入口平台、候梯厅和公共走道没有无障碍设施的，扣2～3分；养老公寓没有无障碍设施或设施不到位的，扣3～5分。</w:t>
            </w:r>
          </w:p>
          <w:p w14:paraId="78F072A7">
            <w:pPr>
              <w:keepNext w:val="0"/>
              <w:keepLines w:val="0"/>
              <w:pageBreakBefore w:val="0"/>
              <w:widowControl w:val="0"/>
              <w:numPr>
                <w:ilvl w:val="0"/>
                <w:numId w:val="0"/>
              </w:numPr>
              <w:kinsoku/>
              <w:wordWrap/>
              <w:overflowPunct/>
              <w:topLinePunct w:val="0"/>
              <w:bidi w:val="0"/>
              <w:snapToGrid/>
              <w:spacing w:line="240" w:lineRule="auto"/>
              <w:ind w:left="33" w:leftChars="0" w:hanging="33"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13.</w:t>
            </w:r>
            <w:r>
              <w:rPr>
                <w:rFonts w:hint="eastAsia" w:ascii="方正仿宋_GB2312" w:hAnsi="方正仿宋_GB2312" w:eastAsia="方正仿宋_GB2312" w:cs="方正仿宋_GB2312"/>
                <w:spacing w:val="0"/>
                <w:szCs w:val="21"/>
              </w:rPr>
              <w:t>违反国家现行标准强制性条文规定的情形</w:t>
            </w:r>
            <w:r>
              <w:rPr>
                <w:rFonts w:hint="eastAsia" w:ascii="方正仿宋_GB2312" w:hAnsi="方正仿宋_GB2312" w:eastAsia="方正仿宋_GB2312" w:cs="方正仿宋_GB2312"/>
                <w:bCs/>
                <w:spacing w:val="0"/>
                <w:szCs w:val="21"/>
              </w:rPr>
              <w:t>扣10</w:t>
            </w:r>
            <w:r>
              <w:rPr>
                <w:rFonts w:hint="eastAsia" w:ascii="方正仿宋_GB2312" w:hAnsi="方正仿宋_GB2312" w:eastAsia="方正仿宋_GB2312" w:cs="方正仿宋_GB2312"/>
                <w:spacing w:val="0"/>
                <w:szCs w:val="21"/>
              </w:rPr>
              <w:t>～20分。</w:t>
            </w:r>
          </w:p>
          <w:p w14:paraId="485A2183">
            <w:pPr>
              <w:keepNext w:val="0"/>
              <w:keepLines w:val="0"/>
              <w:pageBreakBefore w:val="0"/>
              <w:widowControl w:val="0"/>
              <w:numPr>
                <w:ilvl w:val="0"/>
                <w:numId w:val="0"/>
              </w:numPr>
              <w:kinsoku/>
              <w:wordWrap/>
              <w:overflowPunct/>
              <w:topLinePunct w:val="0"/>
              <w:bidi w:val="0"/>
              <w:snapToGrid/>
              <w:spacing w:line="240" w:lineRule="auto"/>
              <w:ind w:left="33" w:leftChars="0" w:hanging="33"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14.</w:t>
            </w:r>
            <w:r>
              <w:rPr>
                <w:rFonts w:hint="eastAsia" w:ascii="方正仿宋_GB2312" w:hAnsi="方正仿宋_GB2312" w:eastAsia="方正仿宋_GB2312" w:cs="方正仿宋_GB2312"/>
                <w:bCs/>
                <w:spacing w:val="0"/>
                <w:szCs w:val="21"/>
              </w:rPr>
              <w:t>影响工程使用安全的其它情形每项扣3～5分。</w:t>
            </w:r>
          </w:p>
          <w:p w14:paraId="20951205">
            <w:pPr>
              <w:keepNext w:val="0"/>
              <w:keepLines w:val="0"/>
              <w:pageBreakBefore w:val="0"/>
              <w:widowControl w:val="0"/>
              <w:numPr>
                <w:ilvl w:val="0"/>
                <w:numId w:val="0"/>
              </w:numPr>
              <w:kinsoku/>
              <w:wordWrap/>
              <w:overflowPunct/>
              <w:topLinePunct w:val="0"/>
              <w:bidi w:val="0"/>
              <w:snapToGrid/>
              <w:spacing w:line="240" w:lineRule="auto"/>
              <w:ind w:left="33" w:leftChars="0" w:hanging="33"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15.</w:t>
            </w:r>
            <w:r>
              <w:rPr>
                <w:rFonts w:hint="eastAsia" w:ascii="方正仿宋_GB2312" w:hAnsi="方正仿宋_GB2312" w:eastAsia="方正仿宋_GB2312" w:cs="方正仿宋_GB2312"/>
                <w:bCs/>
                <w:spacing w:val="0"/>
                <w:szCs w:val="21"/>
              </w:rPr>
              <w:t>影响工程使用功能的其它情形每项扣1～3分。</w:t>
            </w:r>
          </w:p>
          <w:p w14:paraId="6B2A5F81">
            <w:pPr>
              <w:keepNext w:val="0"/>
              <w:keepLines w:val="0"/>
              <w:pageBreakBefore w:val="0"/>
              <w:widowControl w:val="0"/>
              <w:numPr>
                <w:ilvl w:val="0"/>
                <w:numId w:val="0"/>
              </w:numPr>
              <w:kinsoku/>
              <w:wordWrap/>
              <w:overflowPunct/>
              <w:topLinePunct w:val="0"/>
              <w:bidi w:val="0"/>
              <w:snapToGrid/>
              <w:spacing w:line="240" w:lineRule="auto"/>
              <w:ind w:left="0" w:leftChars="0" w:firstLine="0" w:firstLineChars="0"/>
              <w:jc w:val="left"/>
              <w:textAlignment w:val="auto"/>
              <w:rPr>
                <w:rFonts w:hint="eastAsia" w:ascii="方正仿宋_GB2312" w:hAnsi="方正仿宋_GB2312" w:eastAsia="方正仿宋_GB2312" w:cs="方正仿宋_GB2312"/>
                <w:spacing w:val="0"/>
                <w:szCs w:val="21"/>
              </w:rPr>
            </w:pPr>
            <w:r>
              <w:rPr>
                <w:rFonts w:hint="default" w:ascii="方正仿宋_GB2312" w:hAnsi="方正仿宋_GB2312" w:eastAsia="方正仿宋_GB2312" w:cs="方正仿宋_GB2312"/>
                <w:spacing w:val="0"/>
                <w:kern w:val="2"/>
                <w:sz w:val="21"/>
                <w:szCs w:val="21"/>
                <w:lang w:val="en-US" w:eastAsia="zh-CN" w:bidi="ar-SA"/>
              </w:rPr>
              <w:t>16.</w:t>
            </w:r>
            <w:r>
              <w:rPr>
                <w:rFonts w:hint="eastAsia" w:ascii="方正仿宋_GB2312" w:hAnsi="方正仿宋_GB2312" w:eastAsia="方正仿宋_GB2312" w:cs="方正仿宋_GB2312"/>
                <w:spacing w:val="0"/>
                <w:szCs w:val="21"/>
              </w:rPr>
              <w:t>存在其它质量缺陷的，每项扣0.5～2分。</w:t>
            </w:r>
          </w:p>
        </w:tc>
        <w:tc>
          <w:tcPr>
            <w:tcW w:w="1647" w:type="dxa"/>
            <w:tcBorders>
              <w:top w:val="single" w:color="auto" w:sz="4" w:space="0"/>
              <w:left w:val="single" w:color="auto" w:sz="4" w:space="0"/>
              <w:right w:val="single" w:color="auto" w:sz="4" w:space="0"/>
            </w:tcBorders>
            <w:noWrap w:val="0"/>
            <w:vAlign w:val="center"/>
          </w:tcPr>
          <w:p w14:paraId="20287788">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bCs/>
                <w:spacing w:val="0"/>
                <w:szCs w:val="21"/>
              </w:rPr>
              <w:t>符合设计要求，满足国家现行相关标准的规定。</w:t>
            </w:r>
          </w:p>
        </w:tc>
        <w:tc>
          <w:tcPr>
            <w:tcW w:w="851" w:type="dxa"/>
            <w:tcBorders>
              <w:top w:val="single" w:color="auto" w:sz="4" w:space="0"/>
              <w:left w:val="single" w:color="auto" w:sz="4" w:space="0"/>
              <w:right w:val="single" w:color="auto" w:sz="4" w:space="0"/>
            </w:tcBorders>
            <w:noWrap w:val="0"/>
            <w:vAlign w:val="center"/>
          </w:tcPr>
          <w:p w14:paraId="7C2FBBD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60分</w:t>
            </w:r>
          </w:p>
        </w:tc>
        <w:tc>
          <w:tcPr>
            <w:tcW w:w="2362" w:type="dxa"/>
            <w:tcBorders>
              <w:top w:val="single" w:color="auto" w:sz="4" w:space="0"/>
              <w:left w:val="single" w:color="auto" w:sz="4" w:space="0"/>
              <w:right w:val="single" w:color="auto" w:sz="4" w:space="0"/>
            </w:tcBorders>
            <w:noWrap w:val="0"/>
            <w:vAlign w:val="center"/>
          </w:tcPr>
          <w:p w14:paraId="0D2CCDC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查：工程实体质量，并核对图纸、质量管理与技术资料是否与工程实体相符。</w:t>
            </w:r>
          </w:p>
        </w:tc>
      </w:tr>
      <w:tr w14:paraId="1119F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14:paraId="0DFB48DC">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0A9354F0">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科技创新</w:t>
            </w:r>
          </w:p>
        </w:tc>
        <w:tc>
          <w:tcPr>
            <w:tcW w:w="4769" w:type="dxa"/>
            <w:tcBorders>
              <w:top w:val="single" w:color="auto" w:sz="4" w:space="0"/>
              <w:left w:val="single" w:color="auto" w:sz="4" w:space="0"/>
              <w:bottom w:val="single" w:color="auto" w:sz="4" w:space="0"/>
              <w:right w:val="single" w:color="auto" w:sz="4" w:space="0"/>
            </w:tcBorders>
            <w:noWrap w:val="0"/>
            <w:vAlign w:val="center"/>
          </w:tcPr>
          <w:p w14:paraId="7B3BBB7D">
            <w:pPr>
              <w:keepNext w:val="0"/>
              <w:keepLines w:val="0"/>
              <w:pageBreakBefore w:val="0"/>
              <w:widowControl w:val="0"/>
              <w:kinsoku/>
              <w:wordWrap/>
              <w:overflowPunct/>
              <w:topLinePunct w:val="0"/>
              <w:bidi w:val="0"/>
              <w:snapToGrid/>
              <w:spacing w:line="240" w:lineRule="auto"/>
              <w:ind w:left="1"/>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1.新材料、新技术、新工艺、新设备的（包括装配化施工、智慧建造）应用。</w:t>
            </w:r>
          </w:p>
          <w:p w14:paraId="5DF75EDC">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2.获得了建筑装饰行业科学技术奖</w:t>
            </w:r>
          </w:p>
        </w:tc>
        <w:tc>
          <w:tcPr>
            <w:tcW w:w="2463" w:type="dxa"/>
            <w:tcBorders>
              <w:top w:val="single" w:color="auto" w:sz="4" w:space="0"/>
              <w:left w:val="single" w:color="auto" w:sz="4" w:space="0"/>
              <w:bottom w:val="single" w:color="auto" w:sz="4" w:space="0"/>
              <w:right w:val="single" w:color="auto" w:sz="4" w:space="0"/>
            </w:tcBorders>
            <w:noWrap w:val="0"/>
            <w:vAlign w:val="center"/>
          </w:tcPr>
          <w:p w14:paraId="30711856">
            <w:pPr>
              <w:keepNext w:val="0"/>
              <w:keepLines w:val="0"/>
              <w:pageBreakBefore w:val="0"/>
              <w:widowControl w:val="0"/>
              <w:kinsoku/>
              <w:wordWrap/>
              <w:overflowPunct/>
              <w:topLinePunct w:val="0"/>
              <w:bidi w:val="0"/>
              <w:snapToGrid/>
              <w:spacing w:line="240" w:lineRule="auto"/>
              <w:jc w:val="left"/>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缺少相应内容的，扣1～3分。</w:t>
            </w:r>
          </w:p>
        </w:tc>
        <w:tc>
          <w:tcPr>
            <w:tcW w:w="1647" w:type="dxa"/>
            <w:tcBorders>
              <w:top w:val="single" w:color="auto" w:sz="4" w:space="0"/>
              <w:left w:val="single" w:color="auto" w:sz="4" w:space="0"/>
              <w:bottom w:val="single" w:color="auto" w:sz="4" w:space="0"/>
              <w:right w:val="single" w:color="auto" w:sz="4" w:space="0"/>
            </w:tcBorders>
            <w:noWrap w:val="0"/>
            <w:vAlign w:val="center"/>
          </w:tcPr>
          <w:p w14:paraId="6D0CE3C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3D38D70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5分</w:t>
            </w:r>
          </w:p>
        </w:tc>
        <w:tc>
          <w:tcPr>
            <w:tcW w:w="2362" w:type="dxa"/>
            <w:tcBorders>
              <w:top w:val="single" w:color="auto" w:sz="4" w:space="0"/>
              <w:left w:val="single" w:color="auto" w:sz="4" w:space="0"/>
              <w:bottom w:val="single" w:color="auto" w:sz="4" w:space="0"/>
              <w:right w:val="single" w:color="auto" w:sz="4" w:space="0"/>
            </w:tcBorders>
            <w:noWrap w:val="0"/>
            <w:vAlign w:val="center"/>
          </w:tcPr>
          <w:p w14:paraId="498AE025">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核查工程实体及过程资料。</w:t>
            </w:r>
          </w:p>
        </w:tc>
      </w:tr>
      <w:tr w14:paraId="1FB6B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14:paraId="21FB5D3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2C1B540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宜居性与</w:t>
            </w:r>
          </w:p>
          <w:p w14:paraId="59CB631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适老性</w:t>
            </w:r>
          </w:p>
        </w:tc>
        <w:tc>
          <w:tcPr>
            <w:tcW w:w="4769" w:type="dxa"/>
            <w:tcBorders>
              <w:top w:val="single" w:color="auto" w:sz="4" w:space="0"/>
              <w:left w:val="single" w:color="auto" w:sz="4" w:space="0"/>
              <w:bottom w:val="single" w:color="auto" w:sz="4" w:space="0"/>
              <w:right w:val="single" w:color="auto" w:sz="4" w:space="0"/>
            </w:tcBorders>
            <w:noWrap w:val="0"/>
            <w:vAlign w:val="center"/>
          </w:tcPr>
          <w:p w14:paraId="58D54A64">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1.设计理念人性化，材料选用、色彩搭配、观感效果以及装饰施工精细程度较佳、室内无异味；</w:t>
            </w:r>
          </w:p>
          <w:p w14:paraId="2068B843">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2.居住安全措施周全、房间布局合理、空间利用率高、使用方便、舒适宜居、易于老年人居住、生活、康养</w:t>
            </w:r>
          </w:p>
        </w:tc>
        <w:tc>
          <w:tcPr>
            <w:tcW w:w="2463" w:type="dxa"/>
            <w:tcBorders>
              <w:top w:val="single" w:color="auto" w:sz="4" w:space="0"/>
              <w:left w:val="single" w:color="auto" w:sz="4" w:space="0"/>
              <w:bottom w:val="single" w:color="auto" w:sz="4" w:space="0"/>
              <w:right w:val="single" w:color="auto" w:sz="4" w:space="0"/>
            </w:tcBorders>
            <w:noWrap w:val="0"/>
            <w:vAlign w:val="center"/>
          </w:tcPr>
          <w:p w14:paraId="0B20094B">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1.人性化设计、色彩搭配、观感效果等欠佳扣1～3分；</w:t>
            </w:r>
          </w:p>
          <w:p w14:paraId="359C371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w:t>
            </w:r>
            <w:r>
              <w:rPr>
                <w:rFonts w:hint="eastAsia" w:ascii="方正仿宋_GB2312" w:hAnsi="方正仿宋_GB2312" w:eastAsia="方正仿宋_GB2312" w:cs="方正仿宋_GB2312"/>
                <w:spacing w:val="-6"/>
                <w:sz w:val="21"/>
                <w:szCs w:val="21"/>
              </w:rPr>
              <w:t>宜居性、适老性、无障碍措施欠佳的，扣1～5分。</w:t>
            </w:r>
          </w:p>
        </w:tc>
        <w:tc>
          <w:tcPr>
            <w:tcW w:w="1647" w:type="dxa"/>
            <w:tcBorders>
              <w:top w:val="single" w:color="auto" w:sz="4" w:space="0"/>
              <w:left w:val="single" w:color="auto" w:sz="4" w:space="0"/>
              <w:bottom w:val="single" w:color="auto" w:sz="4" w:space="0"/>
              <w:right w:val="single" w:color="auto" w:sz="4" w:space="0"/>
            </w:tcBorders>
            <w:noWrap w:val="0"/>
            <w:vAlign w:val="center"/>
          </w:tcPr>
          <w:p w14:paraId="1E819419">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257454ED">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5分</w:t>
            </w:r>
          </w:p>
        </w:tc>
        <w:tc>
          <w:tcPr>
            <w:tcW w:w="2362" w:type="dxa"/>
            <w:tcBorders>
              <w:top w:val="single" w:color="auto" w:sz="4" w:space="0"/>
              <w:left w:val="single" w:color="auto" w:sz="4" w:space="0"/>
              <w:bottom w:val="single" w:color="auto" w:sz="4" w:space="0"/>
              <w:right w:val="single" w:color="auto" w:sz="4" w:space="0"/>
            </w:tcBorders>
            <w:noWrap w:val="0"/>
            <w:vAlign w:val="center"/>
          </w:tcPr>
          <w:p w14:paraId="735CE45A">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通过实体复查综合判断人性化设计以及居住、观感、施工精细程度等情况；</w:t>
            </w:r>
          </w:p>
        </w:tc>
      </w:tr>
      <w:tr w14:paraId="0603E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14:paraId="573999B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5</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2736E98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总体印象</w:t>
            </w:r>
          </w:p>
        </w:tc>
        <w:tc>
          <w:tcPr>
            <w:tcW w:w="4769" w:type="dxa"/>
            <w:tcBorders>
              <w:top w:val="single" w:color="auto" w:sz="4" w:space="0"/>
              <w:left w:val="single" w:color="auto" w:sz="4" w:space="0"/>
              <w:bottom w:val="single" w:color="auto" w:sz="4" w:space="0"/>
              <w:right w:val="single" w:color="auto" w:sz="4" w:space="0"/>
            </w:tcBorders>
            <w:noWrap w:val="0"/>
            <w:vAlign w:val="center"/>
          </w:tcPr>
          <w:p w14:paraId="5349E99E">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1.组织工作准备充分，人员到位（项目经理或执行经理、技术负责人和资料员等相关人员应到场），汇报PPT内容重点突出、简单明了；</w:t>
            </w:r>
          </w:p>
          <w:p w14:paraId="7E01B309">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2.资料准备充分有序，易于查找；</w:t>
            </w:r>
          </w:p>
          <w:p w14:paraId="4C968BB2">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3.建设单位意见；</w:t>
            </w:r>
          </w:p>
          <w:p w14:paraId="39773AA1">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4.工程实体检查顺畅不受阻。</w:t>
            </w:r>
          </w:p>
        </w:tc>
        <w:tc>
          <w:tcPr>
            <w:tcW w:w="2463" w:type="dxa"/>
            <w:tcBorders>
              <w:top w:val="single" w:color="auto" w:sz="4" w:space="0"/>
              <w:left w:val="single" w:color="auto" w:sz="4" w:space="0"/>
              <w:bottom w:val="single" w:color="auto" w:sz="4" w:space="0"/>
              <w:right w:val="single" w:color="auto" w:sz="4" w:space="0"/>
            </w:tcBorders>
            <w:noWrap w:val="0"/>
            <w:vAlign w:val="center"/>
          </w:tcPr>
          <w:p w14:paraId="4BC635B7">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1.组织工作、人员到位情况欠佳的扣1～5分；</w:t>
            </w:r>
          </w:p>
          <w:p w14:paraId="024D51AA">
            <w:pPr>
              <w:pStyle w:val="46"/>
              <w:keepNext w:val="0"/>
              <w:keepLines w:val="0"/>
              <w:pageBreakBefore w:val="0"/>
              <w:widowControl w:val="0"/>
              <w:kinsoku/>
              <w:wordWrap/>
              <w:overflowPunct/>
              <w:topLinePunct w:val="0"/>
              <w:bidi w:val="0"/>
              <w:snapToGrid/>
              <w:spacing w:line="240" w:lineRule="auto"/>
              <w:ind w:firstLine="0" w:firstLineChars="0"/>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2.其他问题扣1～3分</w:t>
            </w:r>
          </w:p>
        </w:tc>
        <w:tc>
          <w:tcPr>
            <w:tcW w:w="1647" w:type="dxa"/>
            <w:tcBorders>
              <w:top w:val="single" w:color="auto" w:sz="4" w:space="0"/>
              <w:left w:val="single" w:color="auto" w:sz="4" w:space="0"/>
              <w:bottom w:val="single" w:color="auto" w:sz="4" w:space="0"/>
              <w:right w:val="single" w:color="auto" w:sz="4" w:space="0"/>
            </w:tcBorders>
            <w:noWrap w:val="0"/>
            <w:vAlign w:val="center"/>
          </w:tcPr>
          <w:p w14:paraId="31B91DE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2131164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10分</w:t>
            </w:r>
          </w:p>
        </w:tc>
        <w:tc>
          <w:tcPr>
            <w:tcW w:w="2362" w:type="dxa"/>
            <w:tcBorders>
              <w:top w:val="single" w:color="auto" w:sz="4" w:space="0"/>
              <w:left w:val="single" w:color="auto" w:sz="4" w:space="0"/>
              <w:bottom w:val="single" w:color="auto" w:sz="4" w:space="0"/>
              <w:right w:val="single" w:color="auto" w:sz="4" w:space="0"/>
            </w:tcBorders>
            <w:noWrap w:val="0"/>
            <w:vAlign w:val="center"/>
          </w:tcPr>
          <w:p w14:paraId="2F0B406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查：</w:t>
            </w:r>
          </w:p>
          <w:p w14:paraId="5256FE5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1.组织准备情况；</w:t>
            </w:r>
          </w:p>
          <w:p w14:paraId="169E952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2.PPT（项目概况、施工范围、重点难点亮点、施工过程中情况照片等，汇报时间10分钟内）；</w:t>
            </w:r>
          </w:p>
          <w:p w14:paraId="00D84CD4">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spacing w:val="0"/>
                <w:szCs w:val="21"/>
              </w:rPr>
            </w:pPr>
            <w:r>
              <w:rPr>
                <w:rFonts w:hint="eastAsia" w:ascii="方正仿宋_GB2312" w:hAnsi="方正仿宋_GB2312" w:eastAsia="方正仿宋_GB2312" w:cs="方正仿宋_GB2312"/>
                <w:spacing w:val="0"/>
                <w:szCs w:val="21"/>
              </w:rPr>
              <w:t>3.建设单位意见。</w:t>
            </w:r>
          </w:p>
        </w:tc>
      </w:tr>
    </w:tbl>
    <w:p w14:paraId="24E71835">
      <w:pPr>
        <w:keepNext w:val="0"/>
        <w:keepLines w:val="0"/>
        <w:pageBreakBefore w:val="0"/>
        <w:widowControl w:val="0"/>
        <w:kinsoku/>
        <w:wordWrap/>
        <w:overflowPunct/>
        <w:topLinePunct w:val="0"/>
        <w:bidi w:val="0"/>
        <w:snapToGrid/>
        <w:spacing w:line="240" w:lineRule="auto"/>
        <w:textAlignment w:val="auto"/>
        <w:rPr>
          <w:rFonts w:ascii="宋体" w:hAnsi="宋体"/>
          <w:spacing w:val="0"/>
          <w:szCs w:val="21"/>
        </w:rPr>
      </w:pPr>
    </w:p>
    <w:p w14:paraId="2CF56C2B">
      <w:pPr>
        <w:rPr>
          <w:rFonts w:hint="eastAsia"/>
          <w:lang w:val="en-US" w:eastAsia="zh-CN"/>
        </w:rPr>
      </w:pPr>
    </w:p>
    <w:sectPr>
      <w:headerReference r:id="rId12" w:type="default"/>
      <w:footerReference r:id="rId13" w:type="default"/>
      <w:pgSz w:w="16838" w:h="11906" w:orient="landscape"/>
      <w:pgMar w:top="1587" w:right="1440" w:bottom="1247" w:left="1440"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52AE640C-C237-473D-9485-F7F1BB8AA68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楷体_GB2312">
    <w:panose1 w:val="02010609030101010101"/>
    <w:charset w:val="86"/>
    <w:family w:val="modern"/>
    <w:pitch w:val="default"/>
    <w:sig w:usb0="00000001" w:usb1="080E0000" w:usb2="00000000" w:usb3="00000000" w:csb0="00040000" w:csb1="00000000"/>
    <w:embedRegular r:id="rId2" w:fontKey="{E5E44DD7-36B0-4515-AA41-5C9ED238DF1E}"/>
  </w:font>
  <w:font w:name="仿宋_GB2312">
    <w:panose1 w:val="02010609030101010101"/>
    <w:charset w:val="86"/>
    <w:family w:val="modern"/>
    <w:pitch w:val="default"/>
    <w:sig w:usb0="00000001" w:usb1="080E0000" w:usb2="00000000" w:usb3="00000000" w:csb0="00040000" w:csb1="00000000"/>
    <w:embedRegular r:id="rId3" w:fontKey="{076BE546-1EC9-43AF-8EDC-51C1ACA3543D}"/>
  </w:font>
  <w:font w:name="方正小标宋简体">
    <w:panose1 w:val="03000509000000000000"/>
    <w:charset w:val="86"/>
    <w:family w:val="script"/>
    <w:pitch w:val="default"/>
    <w:sig w:usb0="00000001" w:usb1="080E0000" w:usb2="00000000" w:usb3="00000000" w:csb0="00040000" w:csb1="00000000"/>
    <w:embedRegular r:id="rId4" w:fontKey="{F4058135-DEAD-4967-9499-4853D8DED3FF}"/>
  </w:font>
  <w:font w:name="方正仿宋_GB2312">
    <w:altName w:val="仿宋"/>
    <w:panose1 w:val="02000000000000000000"/>
    <w:charset w:val="86"/>
    <w:family w:val="auto"/>
    <w:pitch w:val="default"/>
    <w:sig w:usb0="00000000" w:usb1="00000000" w:usb2="00000012" w:usb3="00000000" w:csb0="00040001" w:csb1="00000000"/>
    <w:embedRegular r:id="rId5" w:fontKey="{41287F28-65DB-4ED8-A213-12169384F29A}"/>
  </w:font>
  <w:font w:name="仿宋">
    <w:panose1 w:val="02010609060101010101"/>
    <w:charset w:val="86"/>
    <w:family w:val="auto"/>
    <w:pitch w:val="default"/>
    <w:sig w:usb0="800002BF" w:usb1="38CF7CFA" w:usb2="00000016" w:usb3="00000000" w:csb0="00040001" w:csb1="00000000"/>
  </w:font>
  <w:font w:name="方正仿宋_GB18030">
    <w:panose1 w:val="02000000000000000000"/>
    <w:charset w:val="86"/>
    <w:family w:val="auto"/>
    <w:pitch w:val="default"/>
    <w:sig w:usb0="00000001" w:usb1="08000000" w:usb2="00000000" w:usb3="00000000" w:csb0="00040000" w:csb1="00000000"/>
    <w:embedRegular r:id="rId6" w:fontKey="{F5AFE5DE-EBBE-4DD9-B97E-181C99360A71}"/>
  </w:font>
  <w:font w:name="方正小标宋_GBK">
    <w:panose1 w:val="03000509000000000000"/>
    <w:charset w:val="86"/>
    <w:family w:val="auto"/>
    <w:pitch w:val="default"/>
    <w:sig w:usb0="00000001" w:usb1="080E0000" w:usb2="00000000" w:usb3="00000000" w:csb0="00040000" w:csb1="00000000"/>
    <w:embedRegular r:id="rId7" w:fontKey="{34F456AD-EFFC-4A2A-B45F-5403EF7D7EA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CC628">
    <w:pPr>
      <w:pStyle w:val="16"/>
      <w:ind w:right="360"/>
      <w:rPr>
        <w:rFonts w:hint="eastAsia"/>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51C53C">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vert="horz" wrap="none" lIns="0" tIns="0" rIns="0" bIns="0" anchor="t" anchorCtr="0" upright="0">
                      <a:spAutoFit/>
                    </wps:bodyPr>
                  </wps:wsp>
                </a:graphicData>
              </a:graphic>
            </wp:anchor>
          </w:drawing>
        </mc:Choice>
        <mc:Fallback>
          <w:pict>
            <v:shape id="文本框 140"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0O9eN4BAADAAwAADgAAAGRycy9lMm9Eb2MueG1srVPNjtMwEL4j8Q6W&#10;7zRptUJV1HQFWy1CQoC08ACu4zSW/CfPtEl5AHgDTly481x9DsZO2sJy2QOXZDwz/ma+b8ar28Ea&#10;dlARtHc1n89KzpSTvtFuV/PPn+5fLDkDFK4RxjtV86MCfrt+/mzVh0otfOdNoyIjEAdVH2reIYaq&#10;KEB2ygqY+aAcBVsfrUA6xl3RRNETujXFoixfFr2PTYheKgDybsYgnxDjUwB922qpNl7urXI4okZl&#10;BBIl6HQAvs7dtq2S+KFtQSEzNSemmL9UhOxt+hbrlah2UYROy6kF8ZQWHnGyQjsqeoHaCBRsH/U/&#10;UFbL6MG3OJPeFiORrAixmJePtHnoRFCZC0kN4SI6/D9Y+f7wMTLd1HzBmROWBn76/u3049fp51c2&#10;v8kC9QEqynsIlInDaz/Q2iThkh/ImXgPbbTpT4wYxUne40VeNSCT6dJysVyWFJIUOx8Ip7heDxHw&#10;jfKWJaPmkeaXZRWHd4Bj6jklVXP+XhuTZ2jcXw7CTJ7i2mOycNgOU+Nb3xyJDz0EqtP5+IWzntag&#10;5o62njPz1pHKaWPORjwb27MhnKSLNUfORvMOx83ah6h3Xd611BSEV3ukTjOB1MZYe+qOBpslmJYw&#10;bc6f55x1fXj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nQ7143gEAAMADAAAOAAAAAAAA&#10;AAEAIAAAAB4BAABkcnMvZTJvRG9jLnhtbFBLBQYAAAAABgAGAFkBAABuBQAAAAA=&#10;">
              <v:fill on="f" focussize="0,0"/>
              <v:stroke on="f"/>
              <v:imagedata o:title=""/>
              <o:lock v:ext="edit" aspectratio="f"/>
              <v:textbox inset="0mm,0mm,0mm,0mm" style="mso-fit-shape-to-text:t;">
                <w:txbxContent>
                  <w:p w14:paraId="1E51C53C">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ECD1E">
    <w:pPr>
      <w:pStyle w:val="16"/>
      <w:ind w:right="360"/>
      <w:rPr>
        <w:rFonts w:hint="eastAsia" w:ascii="方正仿宋_GB18030" w:hAnsi="方正仿宋_GB18030" w:eastAsia="方正仿宋_GB18030" w:cs="方正仿宋_GB18030"/>
        <w:sz w:val="22"/>
        <w:szCs w:val="22"/>
      </w:rPr>
    </w:pPr>
    <w:r>
      <w:rPr>
        <w:rFonts w:hint="eastAsia" w:ascii="方正仿宋_GB18030" w:hAnsi="方正仿宋_GB18030" w:eastAsia="方正仿宋_GB18030" w:cs="方正仿宋_GB18030"/>
        <w:sz w:val="22"/>
        <w:szCs w:val="2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48D774">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B48D774">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644D8">
    <w:pPr>
      <w:pStyle w:val="16"/>
      <w:ind w:right="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932FF9">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03932FF9">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6C77D">
    <w:pPr>
      <w:pStyle w:val="16"/>
      <w:ind w:right="36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54E73E">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3F54E73E">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0AF6E">
    <w:pPr>
      <w:pStyle w:val="16"/>
      <w:ind w:right="360"/>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9CB688">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2D9CB688">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2822B">
    <w:pPr>
      <w:pStyle w:val="16"/>
      <w:ind w:right="360"/>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7EF0B9">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097EF0B9">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984EA">
    <w:pPr>
      <w:pStyle w:val="16"/>
      <w:ind w:right="360"/>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AE10FC">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16</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14:paraId="59AE10FC">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16</w:t>
                    </w:r>
                    <w:r>
                      <w:rPr>
                        <w:rFonts w:hint="eastAsia" w:ascii="仿宋_GB2312" w:hAnsi="仿宋_GB2312" w:eastAsia="仿宋_GB2312" w:cs="仿宋_GB2312"/>
                        <w:sz w:val="28"/>
                        <w:szCs w:val="28"/>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C5ACD">
    <w:pPr>
      <w:pStyle w:val="16"/>
      <w:ind w:right="360" w:firstLine="360"/>
      <w:rPr>
        <w:szCs w:val="28"/>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4763A2">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44</w:t>
                          </w:r>
                          <w:r>
                            <w:rPr>
                              <w:rFonts w:hint="eastAsia" w:ascii="仿宋_GB2312" w:hAnsi="仿宋_GB2312" w:eastAsia="仿宋_GB2312" w:cs="仿宋_GB2312"/>
                              <w:sz w:val="28"/>
                              <w:szCs w:val="28"/>
                            </w:rPr>
                            <w:fldChar w:fldCharType="end"/>
                          </w:r>
                        </w:p>
                      </w:txbxContent>
                    </wps:txbx>
                    <wps:bodyPr vert="horz" wrap="none" lIns="0" tIns="0" rIns="0" bIns="0" anchor="t" anchorCtr="0" upright="0">
                      <a:spAutoFit/>
                    </wps:bodyPr>
                  </wps:wsp>
                </a:graphicData>
              </a:graphic>
            </wp:anchor>
          </w:drawing>
        </mc:Choice>
        <mc:Fallback>
          <w:pict>
            <v:shape id="文本框 139"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9epyeABAADAAwAADgAAAGRycy9lMm9Eb2MueG1srVNLbtswEN0XyB0I&#10;7mPJLlC4guWgrZGiQNEWSHIAmqIsAvxhOLbkHqC9QVfddN9z+RwZ6uO0ySaLbKThcPjmvcfh6qqz&#10;hh0URO1dyeeznDPlpK+025X87vb6cslZROEqYbxTJT+qyK/WF69WbSjUwjfeVAoYgbhYtKHkDWIo&#10;sizKRlkRZz4oR5u1ByuQlrDLKhAtoVuTLfL8TdZ6qAJ4qWKk7GbY5CMiPAfQ17WWauPl3iqHAyoo&#10;I5AkxUaHyNc927pWEr/WdVTITMlJKfZfakLxNn2z9UoUOxCh0XKkIJ5D4ZEmK7SjpmeojUDB9qCf&#10;QFktwUdf40x6mw1CekdIxTx/5M1NI4LqtZDVMZxNjy8HK78cvgHTFU0CZ05YuvDTr5+n339Pf36w&#10;+eu3yaA2xILqbgJVYvfed6l4zEdKJt1dDTb9SRGjfbL3eLZXdchkOrRcLJc5bUnamxaEkz0cDxDx&#10;o/KWpaDkQPfX2yoOnyMOpVNJ6ub8tTaG8qIw7r8EYaZMlrgPHFOE3bYbiW99dSQ99BCoT+PhO2ct&#10;jUHJHU09Z+aTI5fTxEwBTMF2CoSTdLDkyNkQfsBhsvYB9K7pZy2RiuHdHolpLyDRGHqP7OhiewvG&#10;IUyT8++6r3p4eOt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A/XqcngAQAAwAMAAA4AAAAA&#10;AAAAAQAgAAAAHgEAAGRycy9lMm9Eb2MueG1sUEsFBgAAAAAGAAYAWQEAAHAFAAAAAA==&#10;">
              <v:fill on="f" focussize="0,0"/>
              <v:stroke on="f"/>
              <v:imagedata o:title=""/>
              <o:lock v:ext="edit" aspectratio="f"/>
              <v:textbox inset="0mm,0mm,0mm,0mm" style="mso-fit-shape-to-text:t;">
                <w:txbxContent>
                  <w:p w14:paraId="604763A2">
                    <w:pPr>
                      <w:pStyle w:val="1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44</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B479C">
    <w:pPr>
      <w:pStyle w:val="1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31661">
    <w:pPr>
      <w:pStyle w:val="17"/>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8ECEA">
    <w:pPr>
      <w:pStyle w:val="17"/>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9B30D0"/>
    <w:multiLevelType w:val="singleLevel"/>
    <w:tmpl w:val="819B30D0"/>
    <w:lvl w:ilvl="0" w:tentative="0">
      <w:start w:val="1"/>
      <w:numFmt w:val="decimal"/>
      <w:suff w:val="nothing"/>
      <w:lvlText w:val="%1．"/>
      <w:lvlJc w:val="left"/>
      <w:pPr>
        <w:ind w:left="0" w:firstLine="400"/>
      </w:pPr>
      <w:rPr>
        <w:rFonts w:hint="default"/>
      </w:rPr>
    </w:lvl>
  </w:abstractNum>
  <w:abstractNum w:abstractNumId="1">
    <w:nsid w:val="0E8B1A83"/>
    <w:multiLevelType w:val="singleLevel"/>
    <w:tmpl w:val="0E8B1A83"/>
    <w:lvl w:ilvl="0" w:tentative="0">
      <w:start w:val="1"/>
      <w:numFmt w:val="decimal"/>
      <w:suff w:val="nothing"/>
      <w:lvlText w:val="%1．"/>
      <w:lvlJc w:val="left"/>
      <w:pPr>
        <w:ind w:left="0" w:firstLine="400"/>
      </w:pPr>
      <w:rPr>
        <w:rFonts w:hint="default"/>
      </w:rPr>
    </w:lvl>
  </w:abstractNum>
  <w:abstractNum w:abstractNumId="2">
    <w:nsid w:val="23B350D0"/>
    <w:multiLevelType w:val="multilevel"/>
    <w:tmpl w:val="23B350D0"/>
    <w:lvl w:ilvl="0" w:tentative="0">
      <w:start w:val="1"/>
      <w:numFmt w:val="japaneseCounting"/>
      <w:lvlText w:val="%1、"/>
      <w:lvlJc w:val="left"/>
      <w:pPr>
        <w:ind w:left="440" w:hanging="440"/>
      </w:pPr>
      <w:rPr>
        <w:rFonts w:hint="default" w:ascii="黑体" w:hAnsi="黑体" w:eastAsia="黑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36F4EC64"/>
    <w:multiLevelType w:val="singleLevel"/>
    <w:tmpl w:val="36F4EC64"/>
    <w:lvl w:ilvl="0" w:tentative="0">
      <w:start w:val="1"/>
      <w:numFmt w:val="decimal"/>
      <w:suff w:val="nothing"/>
      <w:lvlText w:val="%1."/>
      <w:lvlJc w:val="left"/>
      <w:pPr>
        <w:ind w:left="425" w:hanging="425"/>
      </w:pPr>
      <w:rPr>
        <w:rFonts w:hint="default"/>
      </w:rPr>
    </w:lvl>
  </w:abstractNum>
  <w:abstractNum w:abstractNumId="4">
    <w:nsid w:val="3B0CB69D"/>
    <w:multiLevelType w:val="singleLevel"/>
    <w:tmpl w:val="3B0CB69D"/>
    <w:lvl w:ilvl="0" w:tentative="0">
      <w:start w:val="1"/>
      <w:numFmt w:val="decimal"/>
      <w:suff w:val="nothing"/>
      <w:lvlText w:val="%1．"/>
      <w:lvlJc w:val="left"/>
      <w:pPr>
        <w:ind w:left="0" w:firstLine="400"/>
      </w:pPr>
      <w:rPr>
        <w:rFonts w:hint="default"/>
      </w:rPr>
    </w:lvl>
  </w:abstractNum>
  <w:abstractNum w:abstractNumId="5">
    <w:nsid w:val="57DE221B"/>
    <w:multiLevelType w:val="singleLevel"/>
    <w:tmpl w:val="57DE221B"/>
    <w:lvl w:ilvl="0" w:tentative="0">
      <w:start w:val="2"/>
      <w:numFmt w:val="chineseCounting"/>
      <w:suff w:val="nothing"/>
      <w:lvlText w:val="%1、"/>
      <w:lvlJc w:val="left"/>
      <w:rPr>
        <w:rFonts w:hint="eastAsia"/>
      </w:rPr>
    </w:lvl>
  </w:abstractNum>
  <w:abstractNum w:abstractNumId="6">
    <w:nsid w:val="5A5E7D41"/>
    <w:multiLevelType w:val="singleLevel"/>
    <w:tmpl w:val="5A5E7D41"/>
    <w:lvl w:ilvl="0" w:tentative="0">
      <w:start w:val="1"/>
      <w:numFmt w:val="decimal"/>
      <w:suff w:val="nothing"/>
      <w:lvlText w:val="%1."/>
      <w:lvlJc w:val="left"/>
      <w:pPr>
        <w:ind w:left="425" w:hanging="425"/>
      </w:pPr>
      <w:rPr>
        <w:rFonts w:hint="default"/>
      </w:rPr>
    </w:lvl>
  </w:abstractNum>
  <w:abstractNum w:abstractNumId="7">
    <w:nsid w:val="5F9134AF"/>
    <w:multiLevelType w:val="singleLevel"/>
    <w:tmpl w:val="5F9134AF"/>
    <w:lvl w:ilvl="0" w:tentative="0">
      <w:start w:val="1"/>
      <w:numFmt w:val="decimal"/>
      <w:suff w:val="nothing"/>
      <w:lvlText w:val="%1."/>
      <w:lvlJc w:val="left"/>
      <w:pPr>
        <w:ind w:left="425" w:hanging="425"/>
      </w:pPr>
      <w:rPr>
        <w:rFonts w:hint="default"/>
      </w:rPr>
    </w:lvl>
  </w:abstractNum>
  <w:num w:numId="1">
    <w:abstractNumId w:val="2"/>
  </w:num>
  <w:num w:numId="2">
    <w:abstractNumId w:val="4"/>
  </w:num>
  <w:num w:numId="3">
    <w:abstractNumId w:val="5"/>
  </w:num>
  <w:num w:numId="4">
    <w:abstractNumId w:val="1"/>
  </w:num>
  <w:num w:numId="5">
    <w:abstractNumId w:val="0"/>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lYjFlNzJjMDgxMjI1N2ViZTEzZDMwZGI2MGY4ZjQifQ=="/>
    <w:docVar w:name="KSO_WPS_MARK_KEY" w:val="3d71c6da-d73b-41c0-a87d-2449a5943214"/>
  </w:docVars>
  <w:rsids>
    <w:rsidRoot w:val="002B2196"/>
    <w:rsid w:val="000011BA"/>
    <w:rsid w:val="00002A5D"/>
    <w:rsid w:val="0000586E"/>
    <w:rsid w:val="00005E4F"/>
    <w:rsid w:val="000063B3"/>
    <w:rsid w:val="00006CF3"/>
    <w:rsid w:val="00007DC2"/>
    <w:rsid w:val="00010101"/>
    <w:rsid w:val="0001111A"/>
    <w:rsid w:val="000139C6"/>
    <w:rsid w:val="000147C5"/>
    <w:rsid w:val="00014E16"/>
    <w:rsid w:val="00014FB3"/>
    <w:rsid w:val="0001510D"/>
    <w:rsid w:val="000153F4"/>
    <w:rsid w:val="0001632C"/>
    <w:rsid w:val="00017ABA"/>
    <w:rsid w:val="00020137"/>
    <w:rsid w:val="00020227"/>
    <w:rsid w:val="000204C0"/>
    <w:rsid w:val="00020697"/>
    <w:rsid w:val="000210AF"/>
    <w:rsid w:val="00022291"/>
    <w:rsid w:val="000256EA"/>
    <w:rsid w:val="0002768E"/>
    <w:rsid w:val="000300F0"/>
    <w:rsid w:val="00030BEF"/>
    <w:rsid w:val="000314C5"/>
    <w:rsid w:val="00032C5A"/>
    <w:rsid w:val="00035741"/>
    <w:rsid w:val="000358E1"/>
    <w:rsid w:val="00035C45"/>
    <w:rsid w:val="00036A8D"/>
    <w:rsid w:val="00040633"/>
    <w:rsid w:val="00041D59"/>
    <w:rsid w:val="0004293A"/>
    <w:rsid w:val="0004298D"/>
    <w:rsid w:val="00042AFC"/>
    <w:rsid w:val="00043841"/>
    <w:rsid w:val="00045030"/>
    <w:rsid w:val="00045BBF"/>
    <w:rsid w:val="00047949"/>
    <w:rsid w:val="00047EF4"/>
    <w:rsid w:val="00056A6E"/>
    <w:rsid w:val="00056F4C"/>
    <w:rsid w:val="0005731A"/>
    <w:rsid w:val="00062176"/>
    <w:rsid w:val="00062A45"/>
    <w:rsid w:val="0006459C"/>
    <w:rsid w:val="00064C13"/>
    <w:rsid w:val="000668D3"/>
    <w:rsid w:val="000709B2"/>
    <w:rsid w:val="00070A5A"/>
    <w:rsid w:val="00071D56"/>
    <w:rsid w:val="00075A6B"/>
    <w:rsid w:val="00075CA7"/>
    <w:rsid w:val="0007751F"/>
    <w:rsid w:val="000804DA"/>
    <w:rsid w:val="0008072F"/>
    <w:rsid w:val="00082E23"/>
    <w:rsid w:val="00083A2E"/>
    <w:rsid w:val="000844AB"/>
    <w:rsid w:val="00084AE1"/>
    <w:rsid w:val="00085EBF"/>
    <w:rsid w:val="000869FB"/>
    <w:rsid w:val="00086A9F"/>
    <w:rsid w:val="0008705E"/>
    <w:rsid w:val="00087B3A"/>
    <w:rsid w:val="000900D6"/>
    <w:rsid w:val="00090768"/>
    <w:rsid w:val="00090DF5"/>
    <w:rsid w:val="000941C0"/>
    <w:rsid w:val="00094C1D"/>
    <w:rsid w:val="00095690"/>
    <w:rsid w:val="00096F48"/>
    <w:rsid w:val="000A048E"/>
    <w:rsid w:val="000A07DD"/>
    <w:rsid w:val="000A3571"/>
    <w:rsid w:val="000A51EE"/>
    <w:rsid w:val="000A5BD9"/>
    <w:rsid w:val="000A7F7E"/>
    <w:rsid w:val="000B0CF9"/>
    <w:rsid w:val="000B15B4"/>
    <w:rsid w:val="000B187A"/>
    <w:rsid w:val="000B282D"/>
    <w:rsid w:val="000B3353"/>
    <w:rsid w:val="000B3E1C"/>
    <w:rsid w:val="000B4087"/>
    <w:rsid w:val="000B47DB"/>
    <w:rsid w:val="000B4E5D"/>
    <w:rsid w:val="000B4F11"/>
    <w:rsid w:val="000B591F"/>
    <w:rsid w:val="000B771B"/>
    <w:rsid w:val="000C0A10"/>
    <w:rsid w:val="000C217F"/>
    <w:rsid w:val="000C34E7"/>
    <w:rsid w:val="000C407B"/>
    <w:rsid w:val="000C4290"/>
    <w:rsid w:val="000C46C0"/>
    <w:rsid w:val="000C4F5F"/>
    <w:rsid w:val="000C5035"/>
    <w:rsid w:val="000C551C"/>
    <w:rsid w:val="000C73FD"/>
    <w:rsid w:val="000C7D53"/>
    <w:rsid w:val="000D0CDA"/>
    <w:rsid w:val="000D1590"/>
    <w:rsid w:val="000D6669"/>
    <w:rsid w:val="000E0505"/>
    <w:rsid w:val="000E0933"/>
    <w:rsid w:val="000E33E2"/>
    <w:rsid w:val="000E3DA1"/>
    <w:rsid w:val="000E428D"/>
    <w:rsid w:val="000E46E4"/>
    <w:rsid w:val="000E60A9"/>
    <w:rsid w:val="000E6DAB"/>
    <w:rsid w:val="000E704B"/>
    <w:rsid w:val="000F1C4D"/>
    <w:rsid w:val="000F24D7"/>
    <w:rsid w:val="000F25BF"/>
    <w:rsid w:val="000F4080"/>
    <w:rsid w:val="00103BF4"/>
    <w:rsid w:val="00103C53"/>
    <w:rsid w:val="0010426D"/>
    <w:rsid w:val="00104CD2"/>
    <w:rsid w:val="001062DE"/>
    <w:rsid w:val="00107652"/>
    <w:rsid w:val="001115C1"/>
    <w:rsid w:val="00112976"/>
    <w:rsid w:val="00113A5C"/>
    <w:rsid w:val="00114117"/>
    <w:rsid w:val="00115955"/>
    <w:rsid w:val="00115E98"/>
    <w:rsid w:val="00117A4C"/>
    <w:rsid w:val="00117EE8"/>
    <w:rsid w:val="001201C2"/>
    <w:rsid w:val="001273C5"/>
    <w:rsid w:val="001306B8"/>
    <w:rsid w:val="00130984"/>
    <w:rsid w:val="001318C3"/>
    <w:rsid w:val="0013202C"/>
    <w:rsid w:val="00132603"/>
    <w:rsid w:val="00133906"/>
    <w:rsid w:val="00133F2A"/>
    <w:rsid w:val="001348B2"/>
    <w:rsid w:val="00134BF0"/>
    <w:rsid w:val="00135305"/>
    <w:rsid w:val="00135310"/>
    <w:rsid w:val="00136585"/>
    <w:rsid w:val="001365B6"/>
    <w:rsid w:val="00137697"/>
    <w:rsid w:val="001376BD"/>
    <w:rsid w:val="0014064F"/>
    <w:rsid w:val="001411CB"/>
    <w:rsid w:val="00141851"/>
    <w:rsid w:val="00142A53"/>
    <w:rsid w:val="00144906"/>
    <w:rsid w:val="00146A9D"/>
    <w:rsid w:val="00146DEF"/>
    <w:rsid w:val="001474F8"/>
    <w:rsid w:val="00150476"/>
    <w:rsid w:val="00151E4F"/>
    <w:rsid w:val="00151EE0"/>
    <w:rsid w:val="001525D8"/>
    <w:rsid w:val="00153FDE"/>
    <w:rsid w:val="00154CDF"/>
    <w:rsid w:val="00154D10"/>
    <w:rsid w:val="001550E9"/>
    <w:rsid w:val="0015551D"/>
    <w:rsid w:val="00156322"/>
    <w:rsid w:val="001614C7"/>
    <w:rsid w:val="00161D93"/>
    <w:rsid w:val="00162AA0"/>
    <w:rsid w:val="001631A1"/>
    <w:rsid w:val="00165A23"/>
    <w:rsid w:val="00170C16"/>
    <w:rsid w:val="00170D62"/>
    <w:rsid w:val="00172B57"/>
    <w:rsid w:val="0017318C"/>
    <w:rsid w:val="00173F64"/>
    <w:rsid w:val="00174A0D"/>
    <w:rsid w:val="00176079"/>
    <w:rsid w:val="00177CCD"/>
    <w:rsid w:val="0018109C"/>
    <w:rsid w:val="00184B41"/>
    <w:rsid w:val="00184F6F"/>
    <w:rsid w:val="0018542E"/>
    <w:rsid w:val="001854A5"/>
    <w:rsid w:val="00186AA9"/>
    <w:rsid w:val="00187188"/>
    <w:rsid w:val="001871B6"/>
    <w:rsid w:val="00187465"/>
    <w:rsid w:val="001902E7"/>
    <w:rsid w:val="00192BD2"/>
    <w:rsid w:val="0019326B"/>
    <w:rsid w:val="0019392C"/>
    <w:rsid w:val="00195348"/>
    <w:rsid w:val="00196267"/>
    <w:rsid w:val="0019673E"/>
    <w:rsid w:val="00197CFE"/>
    <w:rsid w:val="001A0E6E"/>
    <w:rsid w:val="001A1A1A"/>
    <w:rsid w:val="001A3B4E"/>
    <w:rsid w:val="001A4915"/>
    <w:rsid w:val="001A6145"/>
    <w:rsid w:val="001A6280"/>
    <w:rsid w:val="001A716A"/>
    <w:rsid w:val="001A73AA"/>
    <w:rsid w:val="001A7A60"/>
    <w:rsid w:val="001A7FD3"/>
    <w:rsid w:val="001B17BA"/>
    <w:rsid w:val="001B19BB"/>
    <w:rsid w:val="001B349D"/>
    <w:rsid w:val="001B3C0C"/>
    <w:rsid w:val="001B440B"/>
    <w:rsid w:val="001B46EC"/>
    <w:rsid w:val="001B506E"/>
    <w:rsid w:val="001B57D1"/>
    <w:rsid w:val="001B6162"/>
    <w:rsid w:val="001B66FA"/>
    <w:rsid w:val="001B7B40"/>
    <w:rsid w:val="001C3964"/>
    <w:rsid w:val="001C3C27"/>
    <w:rsid w:val="001C54DD"/>
    <w:rsid w:val="001C6AA5"/>
    <w:rsid w:val="001C7AEB"/>
    <w:rsid w:val="001D06FF"/>
    <w:rsid w:val="001D25F2"/>
    <w:rsid w:val="001D29A7"/>
    <w:rsid w:val="001D3063"/>
    <w:rsid w:val="001D6FC6"/>
    <w:rsid w:val="001E33F5"/>
    <w:rsid w:val="001E37E5"/>
    <w:rsid w:val="001E4AE4"/>
    <w:rsid w:val="001E514A"/>
    <w:rsid w:val="001E5BA8"/>
    <w:rsid w:val="001E5BB4"/>
    <w:rsid w:val="001E7F12"/>
    <w:rsid w:val="001F10BC"/>
    <w:rsid w:val="001F395F"/>
    <w:rsid w:val="001F4859"/>
    <w:rsid w:val="001F735B"/>
    <w:rsid w:val="00200ADB"/>
    <w:rsid w:val="0020256B"/>
    <w:rsid w:val="00202BB7"/>
    <w:rsid w:val="002031D9"/>
    <w:rsid w:val="00204171"/>
    <w:rsid w:val="00204580"/>
    <w:rsid w:val="002053E8"/>
    <w:rsid w:val="002060D0"/>
    <w:rsid w:val="00210023"/>
    <w:rsid w:val="00211077"/>
    <w:rsid w:val="00211556"/>
    <w:rsid w:val="00211E04"/>
    <w:rsid w:val="00214C52"/>
    <w:rsid w:val="00214D57"/>
    <w:rsid w:val="00216723"/>
    <w:rsid w:val="0021725B"/>
    <w:rsid w:val="0022290C"/>
    <w:rsid w:val="002234DE"/>
    <w:rsid w:val="00224DF1"/>
    <w:rsid w:val="00226919"/>
    <w:rsid w:val="0022762F"/>
    <w:rsid w:val="00227791"/>
    <w:rsid w:val="002279FF"/>
    <w:rsid w:val="0023065B"/>
    <w:rsid w:val="00230694"/>
    <w:rsid w:val="00233228"/>
    <w:rsid w:val="002343AB"/>
    <w:rsid w:val="0023589B"/>
    <w:rsid w:val="002376B3"/>
    <w:rsid w:val="00240196"/>
    <w:rsid w:val="002409C7"/>
    <w:rsid w:val="00241E58"/>
    <w:rsid w:val="00241FBE"/>
    <w:rsid w:val="0024340B"/>
    <w:rsid w:val="0024357B"/>
    <w:rsid w:val="00243A9A"/>
    <w:rsid w:val="00243E36"/>
    <w:rsid w:val="002459A3"/>
    <w:rsid w:val="00245AD3"/>
    <w:rsid w:val="00245E47"/>
    <w:rsid w:val="0024726B"/>
    <w:rsid w:val="002500CA"/>
    <w:rsid w:val="002505FE"/>
    <w:rsid w:val="00253B87"/>
    <w:rsid w:val="0025551A"/>
    <w:rsid w:val="002556D8"/>
    <w:rsid w:val="0026089E"/>
    <w:rsid w:val="002615D3"/>
    <w:rsid w:val="00261CB3"/>
    <w:rsid w:val="002620E5"/>
    <w:rsid w:val="00262D67"/>
    <w:rsid w:val="0026399C"/>
    <w:rsid w:val="002649A0"/>
    <w:rsid w:val="00265905"/>
    <w:rsid w:val="002664A6"/>
    <w:rsid w:val="0026784A"/>
    <w:rsid w:val="0027017F"/>
    <w:rsid w:val="00271240"/>
    <w:rsid w:val="0027149D"/>
    <w:rsid w:val="002733E1"/>
    <w:rsid w:val="0027564B"/>
    <w:rsid w:val="00275ACF"/>
    <w:rsid w:val="00277B99"/>
    <w:rsid w:val="00280382"/>
    <w:rsid w:val="00280873"/>
    <w:rsid w:val="00281735"/>
    <w:rsid w:val="00283B0A"/>
    <w:rsid w:val="0028535F"/>
    <w:rsid w:val="00285B1B"/>
    <w:rsid w:val="00285E35"/>
    <w:rsid w:val="0028678C"/>
    <w:rsid w:val="002874ED"/>
    <w:rsid w:val="00291168"/>
    <w:rsid w:val="00291986"/>
    <w:rsid w:val="00291E0F"/>
    <w:rsid w:val="00292C34"/>
    <w:rsid w:val="00294D97"/>
    <w:rsid w:val="002971E6"/>
    <w:rsid w:val="002A1318"/>
    <w:rsid w:val="002A1D6B"/>
    <w:rsid w:val="002A1D89"/>
    <w:rsid w:val="002A217B"/>
    <w:rsid w:val="002A377D"/>
    <w:rsid w:val="002A492F"/>
    <w:rsid w:val="002A4E70"/>
    <w:rsid w:val="002A7786"/>
    <w:rsid w:val="002B062A"/>
    <w:rsid w:val="002B1343"/>
    <w:rsid w:val="002B2196"/>
    <w:rsid w:val="002B2EFA"/>
    <w:rsid w:val="002B43B0"/>
    <w:rsid w:val="002B5C4D"/>
    <w:rsid w:val="002B628F"/>
    <w:rsid w:val="002B6DEC"/>
    <w:rsid w:val="002C04ED"/>
    <w:rsid w:val="002C0E23"/>
    <w:rsid w:val="002C184C"/>
    <w:rsid w:val="002C1E3E"/>
    <w:rsid w:val="002C3D5D"/>
    <w:rsid w:val="002C3EC2"/>
    <w:rsid w:val="002C4506"/>
    <w:rsid w:val="002C6B99"/>
    <w:rsid w:val="002D0508"/>
    <w:rsid w:val="002D2AE8"/>
    <w:rsid w:val="002D55C6"/>
    <w:rsid w:val="002D5E23"/>
    <w:rsid w:val="002D7717"/>
    <w:rsid w:val="002E1D18"/>
    <w:rsid w:val="002E1D59"/>
    <w:rsid w:val="002E279E"/>
    <w:rsid w:val="002E4D78"/>
    <w:rsid w:val="002E519C"/>
    <w:rsid w:val="002E5509"/>
    <w:rsid w:val="002E60B0"/>
    <w:rsid w:val="002E6443"/>
    <w:rsid w:val="002E655E"/>
    <w:rsid w:val="002E6998"/>
    <w:rsid w:val="002F042A"/>
    <w:rsid w:val="002F0440"/>
    <w:rsid w:val="002F2E4C"/>
    <w:rsid w:val="002F42FD"/>
    <w:rsid w:val="002F469B"/>
    <w:rsid w:val="002F50FC"/>
    <w:rsid w:val="002F5983"/>
    <w:rsid w:val="002F5E26"/>
    <w:rsid w:val="002F6115"/>
    <w:rsid w:val="003002A5"/>
    <w:rsid w:val="003009C5"/>
    <w:rsid w:val="003013BE"/>
    <w:rsid w:val="00301C73"/>
    <w:rsid w:val="003031BD"/>
    <w:rsid w:val="00304156"/>
    <w:rsid w:val="00305577"/>
    <w:rsid w:val="00305F0C"/>
    <w:rsid w:val="00307AE2"/>
    <w:rsid w:val="0031015E"/>
    <w:rsid w:val="00310A5A"/>
    <w:rsid w:val="003125D2"/>
    <w:rsid w:val="0031536F"/>
    <w:rsid w:val="003203C5"/>
    <w:rsid w:val="00320718"/>
    <w:rsid w:val="00320A8F"/>
    <w:rsid w:val="00321314"/>
    <w:rsid w:val="00321801"/>
    <w:rsid w:val="00321806"/>
    <w:rsid w:val="00323A47"/>
    <w:rsid w:val="00323A5C"/>
    <w:rsid w:val="00324A10"/>
    <w:rsid w:val="00330D91"/>
    <w:rsid w:val="003337AD"/>
    <w:rsid w:val="003358B4"/>
    <w:rsid w:val="003359CD"/>
    <w:rsid w:val="00335F88"/>
    <w:rsid w:val="003363D1"/>
    <w:rsid w:val="00340167"/>
    <w:rsid w:val="00340E79"/>
    <w:rsid w:val="003417E1"/>
    <w:rsid w:val="00341F57"/>
    <w:rsid w:val="00342197"/>
    <w:rsid w:val="00342B1A"/>
    <w:rsid w:val="003447BD"/>
    <w:rsid w:val="00344F7A"/>
    <w:rsid w:val="003451BA"/>
    <w:rsid w:val="00346E62"/>
    <w:rsid w:val="00347776"/>
    <w:rsid w:val="00347BAE"/>
    <w:rsid w:val="00347CF7"/>
    <w:rsid w:val="00351642"/>
    <w:rsid w:val="00351BA3"/>
    <w:rsid w:val="00352F5C"/>
    <w:rsid w:val="0035499F"/>
    <w:rsid w:val="003550A2"/>
    <w:rsid w:val="00357709"/>
    <w:rsid w:val="00357F49"/>
    <w:rsid w:val="003613DF"/>
    <w:rsid w:val="003614F8"/>
    <w:rsid w:val="003617F2"/>
    <w:rsid w:val="0036196E"/>
    <w:rsid w:val="00362829"/>
    <w:rsid w:val="00362A5A"/>
    <w:rsid w:val="00363BB5"/>
    <w:rsid w:val="00364CBB"/>
    <w:rsid w:val="0036662A"/>
    <w:rsid w:val="00367A86"/>
    <w:rsid w:val="003713E7"/>
    <w:rsid w:val="003714C8"/>
    <w:rsid w:val="003747A9"/>
    <w:rsid w:val="00375168"/>
    <w:rsid w:val="003757E7"/>
    <w:rsid w:val="00375A84"/>
    <w:rsid w:val="00375DD0"/>
    <w:rsid w:val="00376157"/>
    <w:rsid w:val="003777F5"/>
    <w:rsid w:val="00380B1F"/>
    <w:rsid w:val="00384011"/>
    <w:rsid w:val="00384748"/>
    <w:rsid w:val="003850A7"/>
    <w:rsid w:val="0038783E"/>
    <w:rsid w:val="003904AB"/>
    <w:rsid w:val="00391AC8"/>
    <w:rsid w:val="00393559"/>
    <w:rsid w:val="003936BC"/>
    <w:rsid w:val="003962A5"/>
    <w:rsid w:val="00397A38"/>
    <w:rsid w:val="003A0B5B"/>
    <w:rsid w:val="003A1258"/>
    <w:rsid w:val="003A141D"/>
    <w:rsid w:val="003A1D58"/>
    <w:rsid w:val="003A235A"/>
    <w:rsid w:val="003A35AC"/>
    <w:rsid w:val="003A49A0"/>
    <w:rsid w:val="003A4D4C"/>
    <w:rsid w:val="003A5FA5"/>
    <w:rsid w:val="003A6360"/>
    <w:rsid w:val="003A66FC"/>
    <w:rsid w:val="003A6EF2"/>
    <w:rsid w:val="003B141F"/>
    <w:rsid w:val="003B153C"/>
    <w:rsid w:val="003B5A80"/>
    <w:rsid w:val="003C05BE"/>
    <w:rsid w:val="003C4155"/>
    <w:rsid w:val="003C465A"/>
    <w:rsid w:val="003C7591"/>
    <w:rsid w:val="003C7B19"/>
    <w:rsid w:val="003C7E72"/>
    <w:rsid w:val="003D11EC"/>
    <w:rsid w:val="003D1615"/>
    <w:rsid w:val="003D2CA7"/>
    <w:rsid w:val="003D7DC9"/>
    <w:rsid w:val="003E05EB"/>
    <w:rsid w:val="003E0C89"/>
    <w:rsid w:val="003E1615"/>
    <w:rsid w:val="003E20A0"/>
    <w:rsid w:val="003E2738"/>
    <w:rsid w:val="003E2768"/>
    <w:rsid w:val="003E2CCD"/>
    <w:rsid w:val="003E4421"/>
    <w:rsid w:val="003E511B"/>
    <w:rsid w:val="003E6DC2"/>
    <w:rsid w:val="003F10CC"/>
    <w:rsid w:val="003F2780"/>
    <w:rsid w:val="003F2D17"/>
    <w:rsid w:val="003F3D4B"/>
    <w:rsid w:val="003F4403"/>
    <w:rsid w:val="003F486B"/>
    <w:rsid w:val="003F61EF"/>
    <w:rsid w:val="003F6CD3"/>
    <w:rsid w:val="003F6DC8"/>
    <w:rsid w:val="003F6FE5"/>
    <w:rsid w:val="004027D6"/>
    <w:rsid w:val="00403BE2"/>
    <w:rsid w:val="004058C7"/>
    <w:rsid w:val="00406381"/>
    <w:rsid w:val="00407882"/>
    <w:rsid w:val="00407FD0"/>
    <w:rsid w:val="00411433"/>
    <w:rsid w:val="00411F3F"/>
    <w:rsid w:val="00412413"/>
    <w:rsid w:val="0041402A"/>
    <w:rsid w:val="004144B0"/>
    <w:rsid w:val="00414A30"/>
    <w:rsid w:val="00414B32"/>
    <w:rsid w:val="004152D4"/>
    <w:rsid w:val="00415BB3"/>
    <w:rsid w:val="00416F50"/>
    <w:rsid w:val="00417E4E"/>
    <w:rsid w:val="00420024"/>
    <w:rsid w:val="0042384A"/>
    <w:rsid w:val="00427C0C"/>
    <w:rsid w:val="00430139"/>
    <w:rsid w:val="00430265"/>
    <w:rsid w:val="0043101A"/>
    <w:rsid w:val="004316D0"/>
    <w:rsid w:val="00432EBF"/>
    <w:rsid w:val="00433F93"/>
    <w:rsid w:val="004342A3"/>
    <w:rsid w:val="00436372"/>
    <w:rsid w:val="0044222E"/>
    <w:rsid w:val="00442385"/>
    <w:rsid w:val="0044243F"/>
    <w:rsid w:val="004426DC"/>
    <w:rsid w:val="004429A7"/>
    <w:rsid w:val="00442A68"/>
    <w:rsid w:val="00443D88"/>
    <w:rsid w:val="00443D94"/>
    <w:rsid w:val="00444989"/>
    <w:rsid w:val="004478DE"/>
    <w:rsid w:val="00447B88"/>
    <w:rsid w:val="004508AE"/>
    <w:rsid w:val="00450B5B"/>
    <w:rsid w:val="004518F4"/>
    <w:rsid w:val="004520C9"/>
    <w:rsid w:val="004529EB"/>
    <w:rsid w:val="00452A81"/>
    <w:rsid w:val="00455468"/>
    <w:rsid w:val="00456483"/>
    <w:rsid w:val="0045783B"/>
    <w:rsid w:val="00463B4D"/>
    <w:rsid w:val="00463F91"/>
    <w:rsid w:val="00470876"/>
    <w:rsid w:val="004708E4"/>
    <w:rsid w:val="0047165F"/>
    <w:rsid w:val="00471B5D"/>
    <w:rsid w:val="00471D5A"/>
    <w:rsid w:val="0047598D"/>
    <w:rsid w:val="00476BA0"/>
    <w:rsid w:val="00481537"/>
    <w:rsid w:val="004817C6"/>
    <w:rsid w:val="0048180C"/>
    <w:rsid w:val="00482375"/>
    <w:rsid w:val="004841F2"/>
    <w:rsid w:val="0048437F"/>
    <w:rsid w:val="00484CE1"/>
    <w:rsid w:val="00485D41"/>
    <w:rsid w:val="004869D8"/>
    <w:rsid w:val="004870EE"/>
    <w:rsid w:val="00487E57"/>
    <w:rsid w:val="00492A24"/>
    <w:rsid w:val="00493DC3"/>
    <w:rsid w:val="0049488B"/>
    <w:rsid w:val="0049527F"/>
    <w:rsid w:val="0049668B"/>
    <w:rsid w:val="004A146F"/>
    <w:rsid w:val="004A238D"/>
    <w:rsid w:val="004A246D"/>
    <w:rsid w:val="004A2A85"/>
    <w:rsid w:val="004B154F"/>
    <w:rsid w:val="004B17D9"/>
    <w:rsid w:val="004B1B2D"/>
    <w:rsid w:val="004B35CF"/>
    <w:rsid w:val="004B3EB8"/>
    <w:rsid w:val="004B6F35"/>
    <w:rsid w:val="004B74A9"/>
    <w:rsid w:val="004B7C45"/>
    <w:rsid w:val="004B7F4F"/>
    <w:rsid w:val="004C3D3C"/>
    <w:rsid w:val="004C3F22"/>
    <w:rsid w:val="004C51B2"/>
    <w:rsid w:val="004C6A49"/>
    <w:rsid w:val="004D1280"/>
    <w:rsid w:val="004D14E0"/>
    <w:rsid w:val="004D17EF"/>
    <w:rsid w:val="004D197D"/>
    <w:rsid w:val="004D3508"/>
    <w:rsid w:val="004D56D2"/>
    <w:rsid w:val="004D585E"/>
    <w:rsid w:val="004D5EF5"/>
    <w:rsid w:val="004D6882"/>
    <w:rsid w:val="004D6D89"/>
    <w:rsid w:val="004D6DB0"/>
    <w:rsid w:val="004D75E6"/>
    <w:rsid w:val="004E0591"/>
    <w:rsid w:val="004E1638"/>
    <w:rsid w:val="004E3BFA"/>
    <w:rsid w:val="004E51FA"/>
    <w:rsid w:val="004E5A1A"/>
    <w:rsid w:val="004E5A94"/>
    <w:rsid w:val="004E70F5"/>
    <w:rsid w:val="004E7631"/>
    <w:rsid w:val="004F05EB"/>
    <w:rsid w:val="004F2BDA"/>
    <w:rsid w:val="004F4E9A"/>
    <w:rsid w:val="004F5E89"/>
    <w:rsid w:val="004F61E3"/>
    <w:rsid w:val="004F76C6"/>
    <w:rsid w:val="004F7C59"/>
    <w:rsid w:val="00502F27"/>
    <w:rsid w:val="00506C7B"/>
    <w:rsid w:val="00507F33"/>
    <w:rsid w:val="00510198"/>
    <w:rsid w:val="00511B19"/>
    <w:rsid w:val="00512017"/>
    <w:rsid w:val="0051433A"/>
    <w:rsid w:val="00517A6C"/>
    <w:rsid w:val="005224F3"/>
    <w:rsid w:val="005228B4"/>
    <w:rsid w:val="00523673"/>
    <w:rsid w:val="005240A5"/>
    <w:rsid w:val="00525F95"/>
    <w:rsid w:val="00527318"/>
    <w:rsid w:val="00530160"/>
    <w:rsid w:val="00533451"/>
    <w:rsid w:val="0053434F"/>
    <w:rsid w:val="00534B91"/>
    <w:rsid w:val="00535E9F"/>
    <w:rsid w:val="00535EBB"/>
    <w:rsid w:val="00536E9B"/>
    <w:rsid w:val="00540C5B"/>
    <w:rsid w:val="00540F2C"/>
    <w:rsid w:val="005426B8"/>
    <w:rsid w:val="00545E4A"/>
    <w:rsid w:val="00546A0F"/>
    <w:rsid w:val="00551C53"/>
    <w:rsid w:val="00554401"/>
    <w:rsid w:val="005575A6"/>
    <w:rsid w:val="00560013"/>
    <w:rsid w:val="005616F2"/>
    <w:rsid w:val="00561A1C"/>
    <w:rsid w:val="00562280"/>
    <w:rsid w:val="00562DBB"/>
    <w:rsid w:val="005633E7"/>
    <w:rsid w:val="00563574"/>
    <w:rsid w:val="00563B68"/>
    <w:rsid w:val="005641DF"/>
    <w:rsid w:val="00564A61"/>
    <w:rsid w:val="00572AAF"/>
    <w:rsid w:val="00573B25"/>
    <w:rsid w:val="00573C87"/>
    <w:rsid w:val="00574ED8"/>
    <w:rsid w:val="00575FA4"/>
    <w:rsid w:val="005779B9"/>
    <w:rsid w:val="00580D38"/>
    <w:rsid w:val="00581984"/>
    <w:rsid w:val="0058207A"/>
    <w:rsid w:val="0058352B"/>
    <w:rsid w:val="00584AF1"/>
    <w:rsid w:val="005855DA"/>
    <w:rsid w:val="005857B8"/>
    <w:rsid w:val="005907FF"/>
    <w:rsid w:val="00592273"/>
    <w:rsid w:val="00592C78"/>
    <w:rsid w:val="00595121"/>
    <w:rsid w:val="005962CC"/>
    <w:rsid w:val="00596D78"/>
    <w:rsid w:val="00597BB1"/>
    <w:rsid w:val="005A0943"/>
    <w:rsid w:val="005A3716"/>
    <w:rsid w:val="005A4380"/>
    <w:rsid w:val="005A4402"/>
    <w:rsid w:val="005A5984"/>
    <w:rsid w:val="005A6756"/>
    <w:rsid w:val="005B0308"/>
    <w:rsid w:val="005B0E81"/>
    <w:rsid w:val="005B0F6B"/>
    <w:rsid w:val="005B16DB"/>
    <w:rsid w:val="005B25EE"/>
    <w:rsid w:val="005B2AA1"/>
    <w:rsid w:val="005B2D71"/>
    <w:rsid w:val="005B2F18"/>
    <w:rsid w:val="005B5B6C"/>
    <w:rsid w:val="005B5E56"/>
    <w:rsid w:val="005B70CD"/>
    <w:rsid w:val="005C0B70"/>
    <w:rsid w:val="005C110C"/>
    <w:rsid w:val="005C159B"/>
    <w:rsid w:val="005C20FC"/>
    <w:rsid w:val="005C215A"/>
    <w:rsid w:val="005C3349"/>
    <w:rsid w:val="005C3C5C"/>
    <w:rsid w:val="005C55F4"/>
    <w:rsid w:val="005C65DF"/>
    <w:rsid w:val="005C70F3"/>
    <w:rsid w:val="005C7B3F"/>
    <w:rsid w:val="005D0600"/>
    <w:rsid w:val="005D0ACC"/>
    <w:rsid w:val="005D11AD"/>
    <w:rsid w:val="005D32F6"/>
    <w:rsid w:val="005D4107"/>
    <w:rsid w:val="005D6789"/>
    <w:rsid w:val="005D687E"/>
    <w:rsid w:val="005E036A"/>
    <w:rsid w:val="005E08F7"/>
    <w:rsid w:val="005E17F0"/>
    <w:rsid w:val="005E30B0"/>
    <w:rsid w:val="005E339F"/>
    <w:rsid w:val="005E46DE"/>
    <w:rsid w:val="005E51F0"/>
    <w:rsid w:val="005E55FE"/>
    <w:rsid w:val="005E565E"/>
    <w:rsid w:val="005E5681"/>
    <w:rsid w:val="005F2957"/>
    <w:rsid w:val="005F3392"/>
    <w:rsid w:val="005F38D3"/>
    <w:rsid w:val="005F41F2"/>
    <w:rsid w:val="005F4735"/>
    <w:rsid w:val="005F5794"/>
    <w:rsid w:val="005F5A87"/>
    <w:rsid w:val="005F6B61"/>
    <w:rsid w:val="0060020F"/>
    <w:rsid w:val="00601A09"/>
    <w:rsid w:val="00601D99"/>
    <w:rsid w:val="00602BD0"/>
    <w:rsid w:val="00603655"/>
    <w:rsid w:val="00605D41"/>
    <w:rsid w:val="00607E24"/>
    <w:rsid w:val="00610A1D"/>
    <w:rsid w:val="006111BC"/>
    <w:rsid w:val="00611445"/>
    <w:rsid w:val="0061291F"/>
    <w:rsid w:val="00613172"/>
    <w:rsid w:val="0061357F"/>
    <w:rsid w:val="00613FBD"/>
    <w:rsid w:val="00614FF6"/>
    <w:rsid w:val="006151DF"/>
    <w:rsid w:val="00615556"/>
    <w:rsid w:val="00615DC1"/>
    <w:rsid w:val="00616037"/>
    <w:rsid w:val="00616835"/>
    <w:rsid w:val="00617D2A"/>
    <w:rsid w:val="0062131B"/>
    <w:rsid w:val="006214C4"/>
    <w:rsid w:val="006221EA"/>
    <w:rsid w:val="00622A1C"/>
    <w:rsid w:val="00624E1A"/>
    <w:rsid w:val="00626678"/>
    <w:rsid w:val="00626A41"/>
    <w:rsid w:val="00632892"/>
    <w:rsid w:val="00632ABE"/>
    <w:rsid w:val="00635A7B"/>
    <w:rsid w:val="006376E9"/>
    <w:rsid w:val="006419F0"/>
    <w:rsid w:val="00642AA6"/>
    <w:rsid w:val="0064502A"/>
    <w:rsid w:val="00646565"/>
    <w:rsid w:val="0064746F"/>
    <w:rsid w:val="00647EBE"/>
    <w:rsid w:val="006539F2"/>
    <w:rsid w:val="00653B54"/>
    <w:rsid w:val="0065539E"/>
    <w:rsid w:val="0066075D"/>
    <w:rsid w:val="00660816"/>
    <w:rsid w:val="006622EC"/>
    <w:rsid w:val="006626DF"/>
    <w:rsid w:val="00664FD5"/>
    <w:rsid w:val="00665ADB"/>
    <w:rsid w:val="00666D76"/>
    <w:rsid w:val="00670C97"/>
    <w:rsid w:val="00671D4A"/>
    <w:rsid w:val="00672811"/>
    <w:rsid w:val="0067287A"/>
    <w:rsid w:val="006729E2"/>
    <w:rsid w:val="0067370B"/>
    <w:rsid w:val="006744B9"/>
    <w:rsid w:val="006767E1"/>
    <w:rsid w:val="006770D0"/>
    <w:rsid w:val="00677433"/>
    <w:rsid w:val="0067747C"/>
    <w:rsid w:val="0067769F"/>
    <w:rsid w:val="0068074B"/>
    <w:rsid w:val="00681045"/>
    <w:rsid w:val="00681168"/>
    <w:rsid w:val="00681F74"/>
    <w:rsid w:val="006822FE"/>
    <w:rsid w:val="00682493"/>
    <w:rsid w:val="00682588"/>
    <w:rsid w:val="00683134"/>
    <w:rsid w:val="006836CD"/>
    <w:rsid w:val="006847AF"/>
    <w:rsid w:val="00684E3A"/>
    <w:rsid w:val="0068622C"/>
    <w:rsid w:val="00686653"/>
    <w:rsid w:val="006874B6"/>
    <w:rsid w:val="00687888"/>
    <w:rsid w:val="006922A5"/>
    <w:rsid w:val="00693CAA"/>
    <w:rsid w:val="00695C42"/>
    <w:rsid w:val="00696E4C"/>
    <w:rsid w:val="00697483"/>
    <w:rsid w:val="006976F4"/>
    <w:rsid w:val="006A170A"/>
    <w:rsid w:val="006A2BBE"/>
    <w:rsid w:val="006A3356"/>
    <w:rsid w:val="006A40B8"/>
    <w:rsid w:val="006A65EC"/>
    <w:rsid w:val="006A7360"/>
    <w:rsid w:val="006B0944"/>
    <w:rsid w:val="006B2700"/>
    <w:rsid w:val="006B31FB"/>
    <w:rsid w:val="006B3637"/>
    <w:rsid w:val="006B6E0F"/>
    <w:rsid w:val="006C096B"/>
    <w:rsid w:val="006C4DDC"/>
    <w:rsid w:val="006C6184"/>
    <w:rsid w:val="006C6AC8"/>
    <w:rsid w:val="006C713F"/>
    <w:rsid w:val="006D3F55"/>
    <w:rsid w:val="006D54EF"/>
    <w:rsid w:val="006D5A82"/>
    <w:rsid w:val="006D6F49"/>
    <w:rsid w:val="006E0C2F"/>
    <w:rsid w:val="006E4F4F"/>
    <w:rsid w:val="006E7833"/>
    <w:rsid w:val="006F0885"/>
    <w:rsid w:val="006F0FC6"/>
    <w:rsid w:val="006F14EE"/>
    <w:rsid w:val="006F323B"/>
    <w:rsid w:val="006F43A1"/>
    <w:rsid w:val="006F46D3"/>
    <w:rsid w:val="006F48F7"/>
    <w:rsid w:val="006F522C"/>
    <w:rsid w:val="006F716F"/>
    <w:rsid w:val="007000BA"/>
    <w:rsid w:val="00700772"/>
    <w:rsid w:val="00701E9B"/>
    <w:rsid w:val="007020D3"/>
    <w:rsid w:val="00703027"/>
    <w:rsid w:val="0070311A"/>
    <w:rsid w:val="00704517"/>
    <w:rsid w:val="00704538"/>
    <w:rsid w:val="00704D00"/>
    <w:rsid w:val="007060D1"/>
    <w:rsid w:val="0070653A"/>
    <w:rsid w:val="0071011A"/>
    <w:rsid w:val="007117E0"/>
    <w:rsid w:val="007138CF"/>
    <w:rsid w:val="00714298"/>
    <w:rsid w:val="007156F3"/>
    <w:rsid w:val="007158DE"/>
    <w:rsid w:val="00721B9B"/>
    <w:rsid w:val="00721C83"/>
    <w:rsid w:val="00722BA2"/>
    <w:rsid w:val="00723F40"/>
    <w:rsid w:val="007245A0"/>
    <w:rsid w:val="007306A1"/>
    <w:rsid w:val="007307DB"/>
    <w:rsid w:val="00731818"/>
    <w:rsid w:val="0073425A"/>
    <w:rsid w:val="0073470F"/>
    <w:rsid w:val="00735ECB"/>
    <w:rsid w:val="0073709B"/>
    <w:rsid w:val="00742369"/>
    <w:rsid w:val="00742C22"/>
    <w:rsid w:val="00745C4E"/>
    <w:rsid w:val="007460DF"/>
    <w:rsid w:val="0074680A"/>
    <w:rsid w:val="00747F40"/>
    <w:rsid w:val="00752968"/>
    <w:rsid w:val="00752B60"/>
    <w:rsid w:val="00752B7B"/>
    <w:rsid w:val="007539B9"/>
    <w:rsid w:val="007551C6"/>
    <w:rsid w:val="00757FBD"/>
    <w:rsid w:val="007605B7"/>
    <w:rsid w:val="00761784"/>
    <w:rsid w:val="007620A6"/>
    <w:rsid w:val="00762A52"/>
    <w:rsid w:val="00765BEB"/>
    <w:rsid w:val="00767307"/>
    <w:rsid w:val="007704ED"/>
    <w:rsid w:val="007705EF"/>
    <w:rsid w:val="007715B3"/>
    <w:rsid w:val="0077199E"/>
    <w:rsid w:val="00772DEC"/>
    <w:rsid w:val="007730D9"/>
    <w:rsid w:val="007745E9"/>
    <w:rsid w:val="00774E49"/>
    <w:rsid w:val="00776B71"/>
    <w:rsid w:val="00776D73"/>
    <w:rsid w:val="0078000B"/>
    <w:rsid w:val="0078026A"/>
    <w:rsid w:val="00782D0E"/>
    <w:rsid w:val="00783DF7"/>
    <w:rsid w:val="0078460C"/>
    <w:rsid w:val="00784CC2"/>
    <w:rsid w:val="00785C9F"/>
    <w:rsid w:val="0078709D"/>
    <w:rsid w:val="0078748C"/>
    <w:rsid w:val="00787A82"/>
    <w:rsid w:val="00790BA9"/>
    <w:rsid w:val="0079194A"/>
    <w:rsid w:val="007925A3"/>
    <w:rsid w:val="0079299B"/>
    <w:rsid w:val="00792BB1"/>
    <w:rsid w:val="00793B84"/>
    <w:rsid w:val="00793E1C"/>
    <w:rsid w:val="00796339"/>
    <w:rsid w:val="007968C8"/>
    <w:rsid w:val="007A065E"/>
    <w:rsid w:val="007A0C43"/>
    <w:rsid w:val="007A163F"/>
    <w:rsid w:val="007A2271"/>
    <w:rsid w:val="007A228C"/>
    <w:rsid w:val="007A2587"/>
    <w:rsid w:val="007A25D8"/>
    <w:rsid w:val="007A505A"/>
    <w:rsid w:val="007A59BC"/>
    <w:rsid w:val="007A5D44"/>
    <w:rsid w:val="007A64F0"/>
    <w:rsid w:val="007A70D7"/>
    <w:rsid w:val="007B213F"/>
    <w:rsid w:val="007B25CD"/>
    <w:rsid w:val="007B2A29"/>
    <w:rsid w:val="007B3B38"/>
    <w:rsid w:val="007B4E90"/>
    <w:rsid w:val="007B6ABB"/>
    <w:rsid w:val="007B7312"/>
    <w:rsid w:val="007C105F"/>
    <w:rsid w:val="007C245D"/>
    <w:rsid w:val="007C32A4"/>
    <w:rsid w:val="007C42AD"/>
    <w:rsid w:val="007C4A9D"/>
    <w:rsid w:val="007C5491"/>
    <w:rsid w:val="007C582B"/>
    <w:rsid w:val="007C6620"/>
    <w:rsid w:val="007D08EA"/>
    <w:rsid w:val="007D2334"/>
    <w:rsid w:val="007D3E01"/>
    <w:rsid w:val="007D4D35"/>
    <w:rsid w:val="007D55DC"/>
    <w:rsid w:val="007D670F"/>
    <w:rsid w:val="007D7375"/>
    <w:rsid w:val="007E04BD"/>
    <w:rsid w:val="007E1153"/>
    <w:rsid w:val="007E3A78"/>
    <w:rsid w:val="007E4FEF"/>
    <w:rsid w:val="007E6B55"/>
    <w:rsid w:val="007E7C88"/>
    <w:rsid w:val="007F4632"/>
    <w:rsid w:val="007F497C"/>
    <w:rsid w:val="007F566A"/>
    <w:rsid w:val="007F630B"/>
    <w:rsid w:val="007F648A"/>
    <w:rsid w:val="007F764F"/>
    <w:rsid w:val="007F7D05"/>
    <w:rsid w:val="007F7DD2"/>
    <w:rsid w:val="008001A2"/>
    <w:rsid w:val="008001E5"/>
    <w:rsid w:val="00800E00"/>
    <w:rsid w:val="00800EEA"/>
    <w:rsid w:val="0080101A"/>
    <w:rsid w:val="00801737"/>
    <w:rsid w:val="0080449C"/>
    <w:rsid w:val="00804618"/>
    <w:rsid w:val="00805337"/>
    <w:rsid w:val="008065B3"/>
    <w:rsid w:val="0081058A"/>
    <w:rsid w:val="00810657"/>
    <w:rsid w:val="00811318"/>
    <w:rsid w:val="00813510"/>
    <w:rsid w:val="008137E3"/>
    <w:rsid w:val="0081445C"/>
    <w:rsid w:val="00814FCE"/>
    <w:rsid w:val="00815051"/>
    <w:rsid w:val="00815FE6"/>
    <w:rsid w:val="0081613D"/>
    <w:rsid w:val="00816AD1"/>
    <w:rsid w:val="00816CBC"/>
    <w:rsid w:val="008175D2"/>
    <w:rsid w:val="008204D3"/>
    <w:rsid w:val="0082055E"/>
    <w:rsid w:val="008223AF"/>
    <w:rsid w:val="00825432"/>
    <w:rsid w:val="00825A84"/>
    <w:rsid w:val="00825EA6"/>
    <w:rsid w:val="008260E4"/>
    <w:rsid w:val="008262D8"/>
    <w:rsid w:val="00826514"/>
    <w:rsid w:val="008274DC"/>
    <w:rsid w:val="008274F0"/>
    <w:rsid w:val="00827DE6"/>
    <w:rsid w:val="00830AE4"/>
    <w:rsid w:val="00833726"/>
    <w:rsid w:val="0083435A"/>
    <w:rsid w:val="008346A1"/>
    <w:rsid w:val="00835FAF"/>
    <w:rsid w:val="008360EA"/>
    <w:rsid w:val="008377AC"/>
    <w:rsid w:val="0084032A"/>
    <w:rsid w:val="00841888"/>
    <w:rsid w:val="00841F08"/>
    <w:rsid w:val="00842D78"/>
    <w:rsid w:val="00845B40"/>
    <w:rsid w:val="00851329"/>
    <w:rsid w:val="00852096"/>
    <w:rsid w:val="008524B3"/>
    <w:rsid w:val="0085293E"/>
    <w:rsid w:val="0085335D"/>
    <w:rsid w:val="00853574"/>
    <w:rsid w:val="00853D64"/>
    <w:rsid w:val="00856231"/>
    <w:rsid w:val="008567A5"/>
    <w:rsid w:val="00856832"/>
    <w:rsid w:val="00856C62"/>
    <w:rsid w:val="00856F4F"/>
    <w:rsid w:val="008620F9"/>
    <w:rsid w:val="00862686"/>
    <w:rsid w:val="00866373"/>
    <w:rsid w:val="00866662"/>
    <w:rsid w:val="00871669"/>
    <w:rsid w:val="0087296E"/>
    <w:rsid w:val="00873573"/>
    <w:rsid w:val="0087407C"/>
    <w:rsid w:val="00874111"/>
    <w:rsid w:val="0087438B"/>
    <w:rsid w:val="008747D1"/>
    <w:rsid w:val="00875CB3"/>
    <w:rsid w:val="008761E4"/>
    <w:rsid w:val="0087785F"/>
    <w:rsid w:val="00881389"/>
    <w:rsid w:val="00881701"/>
    <w:rsid w:val="00881821"/>
    <w:rsid w:val="00883607"/>
    <w:rsid w:val="00883D7A"/>
    <w:rsid w:val="00886571"/>
    <w:rsid w:val="00890444"/>
    <w:rsid w:val="0089162C"/>
    <w:rsid w:val="0089226C"/>
    <w:rsid w:val="008948A6"/>
    <w:rsid w:val="008A0C78"/>
    <w:rsid w:val="008A0E6F"/>
    <w:rsid w:val="008A2060"/>
    <w:rsid w:val="008A374E"/>
    <w:rsid w:val="008A3AD8"/>
    <w:rsid w:val="008A3B43"/>
    <w:rsid w:val="008A3C39"/>
    <w:rsid w:val="008A6067"/>
    <w:rsid w:val="008A6D8F"/>
    <w:rsid w:val="008A792A"/>
    <w:rsid w:val="008B1B22"/>
    <w:rsid w:val="008B30A9"/>
    <w:rsid w:val="008B32CC"/>
    <w:rsid w:val="008B3BCF"/>
    <w:rsid w:val="008B3F49"/>
    <w:rsid w:val="008B5BA3"/>
    <w:rsid w:val="008B6504"/>
    <w:rsid w:val="008B6CC2"/>
    <w:rsid w:val="008B7FF7"/>
    <w:rsid w:val="008C027A"/>
    <w:rsid w:val="008C0ED3"/>
    <w:rsid w:val="008C1AF1"/>
    <w:rsid w:val="008C45FE"/>
    <w:rsid w:val="008C6338"/>
    <w:rsid w:val="008C67F0"/>
    <w:rsid w:val="008C6AB5"/>
    <w:rsid w:val="008C76D9"/>
    <w:rsid w:val="008D1183"/>
    <w:rsid w:val="008D120D"/>
    <w:rsid w:val="008D1AC8"/>
    <w:rsid w:val="008D2435"/>
    <w:rsid w:val="008D3C8F"/>
    <w:rsid w:val="008D3E1E"/>
    <w:rsid w:val="008D5DB5"/>
    <w:rsid w:val="008E09A9"/>
    <w:rsid w:val="008E0D59"/>
    <w:rsid w:val="008E3510"/>
    <w:rsid w:val="008E58FF"/>
    <w:rsid w:val="008E7B04"/>
    <w:rsid w:val="008F0D2A"/>
    <w:rsid w:val="009009D7"/>
    <w:rsid w:val="00900EC7"/>
    <w:rsid w:val="00901423"/>
    <w:rsid w:val="00902A86"/>
    <w:rsid w:val="00904EBE"/>
    <w:rsid w:val="009050E8"/>
    <w:rsid w:val="009055BB"/>
    <w:rsid w:val="009059E2"/>
    <w:rsid w:val="00906F5D"/>
    <w:rsid w:val="00907C75"/>
    <w:rsid w:val="00910DF5"/>
    <w:rsid w:val="00913348"/>
    <w:rsid w:val="00913692"/>
    <w:rsid w:val="0091455B"/>
    <w:rsid w:val="0091518A"/>
    <w:rsid w:val="00916D11"/>
    <w:rsid w:val="009211A7"/>
    <w:rsid w:val="00924634"/>
    <w:rsid w:val="0092543C"/>
    <w:rsid w:val="00930145"/>
    <w:rsid w:val="00932791"/>
    <w:rsid w:val="0093378B"/>
    <w:rsid w:val="00933E54"/>
    <w:rsid w:val="00934512"/>
    <w:rsid w:val="009367F8"/>
    <w:rsid w:val="00937B60"/>
    <w:rsid w:val="00941C16"/>
    <w:rsid w:val="009421C9"/>
    <w:rsid w:val="0094310F"/>
    <w:rsid w:val="0094610A"/>
    <w:rsid w:val="00946380"/>
    <w:rsid w:val="00947175"/>
    <w:rsid w:val="00950981"/>
    <w:rsid w:val="0095324E"/>
    <w:rsid w:val="0095343A"/>
    <w:rsid w:val="00954724"/>
    <w:rsid w:val="00956E74"/>
    <w:rsid w:val="00957229"/>
    <w:rsid w:val="009602D4"/>
    <w:rsid w:val="0096144B"/>
    <w:rsid w:val="00962004"/>
    <w:rsid w:val="009623DC"/>
    <w:rsid w:val="00962539"/>
    <w:rsid w:val="00962A83"/>
    <w:rsid w:val="00962E83"/>
    <w:rsid w:val="0096334A"/>
    <w:rsid w:val="009654DC"/>
    <w:rsid w:val="009725D6"/>
    <w:rsid w:val="0097321A"/>
    <w:rsid w:val="009734FD"/>
    <w:rsid w:val="00973F5C"/>
    <w:rsid w:val="00974179"/>
    <w:rsid w:val="009746B0"/>
    <w:rsid w:val="00974A90"/>
    <w:rsid w:val="00974C0D"/>
    <w:rsid w:val="00975247"/>
    <w:rsid w:val="00975E80"/>
    <w:rsid w:val="0097606D"/>
    <w:rsid w:val="009807AD"/>
    <w:rsid w:val="00986D82"/>
    <w:rsid w:val="00990FB1"/>
    <w:rsid w:val="00991424"/>
    <w:rsid w:val="00991BBC"/>
    <w:rsid w:val="00994EF5"/>
    <w:rsid w:val="00995000"/>
    <w:rsid w:val="009951C8"/>
    <w:rsid w:val="00996583"/>
    <w:rsid w:val="0099766F"/>
    <w:rsid w:val="009A0072"/>
    <w:rsid w:val="009A0A42"/>
    <w:rsid w:val="009A185F"/>
    <w:rsid w:val="009A36B4"/>
    <w:rsid w:val="009A3ABA"/>
    <w:rsid w:val="009A40D5"/>
    <w:rsid w:val="009A7D1F"/>
    <w:rsid w:val="009A7F22"/>
    <w:rsid w:val="009B2B73"/>
    <w:rsid w:val="009B3F96"/>
    <w:rsid w:val="009B48D8"/>
    <w:rsid w:val="009B54B0"/>
    <w:rsid w:val="009B55E7"/>
    <w:rsid w:val="009B6257"/>
    <w:rsid w:val="009C0FED"/>
    <w:rsid w:val="009C1AFC"/>
    <w:rsid w:val="009C1CE9"/>
    <w:rsid w:val="009C281A"/>
    <w:rsid w:val="009C3814"/>
    <w:rsid w:val="009C3DA0"/>
    <w:rsid w:val="009C4406"/>
    <w:rsid w:val="009C479C"/>
    <w:rsid w:val="009C4FAE"/>
    <w:rsid w:val="009C6BD2"/>
    <w:rsid w:val="009C7562"/>
    <w:rsid w:val="009C7AAA"/>
    <w:rsid w:val="009D066C"/>
    <w:rsid w:val="009D194F"/>
    <w:rsid w:val="009D226C"/>
    <w:rsid w:val="009D25F8"/>
    <w:rsid w:val="009D2876"/>
    <w:rsid w:val="009D5371"/>
    <w:rsid w:val="009D60B1"/>
    <w:rsid w:val="009D6D83"/>
    <w:rsid w:val="009E143A"/>
    <w:rsid w:val="009E34CB"/>
    <w:rsid w:val="009E5899"/>
    <w:rsid w:val="009E5990"/>
    <w:rsid w:val="009E6095"/>
    <w:rsid w:val="009F092E"/>
    <w:rsid w:val="009F2914"/>
    <w:rsid w:val="009F31DC"/>
    <w:rsid w:val="009F41C9"/>
    <w:rsid w:val="009F44A7"/>
    <w:rsid w:val="009F5774"/>
    <w:rsid w:val="009F5C6E"/>
    <w:rsid w:val="009F781F"/>
    <w:rsid w:val="009F7D24"/>
    <w:rsid w:val="00A00275"/>
    <w:rsid w:val="00A0030C"/>
    <w:rsid w:val="00A00ADB"/>
    <w:rsid w:val="00A01064"/>
    <w:rsid w:val="00A0197E"/>
    <w:rsid w:val="00A022C7"/>
    <w:rsid w:val="00A02423"/>
    <w:rsid w:val="00A02B08"/>
    <w:rsid w:val="00A02D07"/>
    <w:rsid w:val="00A03EC8"/>
    <w:rsid w:val="00A04AAE"/>
    <w:rsid w:val="00A0608C"/>
    <w:rsid w:val="00A06334"/>
    <w:rsid w:val="00A0653F"/>
    <w:rsid w:val="00A06DED"/>
    <w:rsid w:val="00A107D1"/>
    <w:rsid w:val="00A11B38"/>
    <w:rsid w:val="00A122D9"/>
    <w:rsid w:val="00A14027"/>
    <w:rsid w:val="00A145F9"/>
    <w:rsid w:val="00A14C08"/>
    <w:rsid w:val="00A15109"/>
    <w:rsid w:val="00A15B4B"/>
    <w:rsid w:val="00A16461"/>
    <w:rsid w:val="00A203C1"/>
    <w:rsid w:val="00A2041D"/>
    <w:rsid w:val="00A20755"/>
    <w:rsid w:val="00A2299F"/>
    <w:rsid w:val="00A22A96"/>
    <w:rsid w:val="00A26585"/>
    <w:rsid w:val="00A30814"/>
    <w:rsid w:val="00A3087E"/>
    <w:rsid w:val="00A30A03"/>
    <w:rsid w:val="00A30B30"/>
    <w:rsid w:val="00A313E8"/>
    <w:rsid w:val="00A31761"/>
    <w:rsid w:val="00A31FD9"/>
    <w:rsid w:val="00A327F5"/>
    <w:rsid w:val="00A364EE"/>
    <w:rsid w:val="00A36860"/>
    <w:rsid w:val="00A4097F"/>
    <w:rsid w:val="00A40E4C"/>
    <w:rsid w:val="00A4134A"/>
    <w:rsid w:val="00A42EB4"/>
    <w:rsid w:val="00A45444"/>
    <w:rsid w:val="00A455E3"/>
    <w:rsid w:val="00A45668"/>
    <w:rsid w:val="00A46B97"/>
    <w:rsid w:val="00A471C4"/>
    <w:rsid w:val="00A479FE"/>
    <w:rsid w:val="00A47BEC"/>
    <w:rsid w:val="00A50DEF"/>
    <w:rsid w:val="00A50FC6"/>
    <w:rsid w:val="00A51487"/>
    <w:rsid w:val="00A515AD"/>
    <w:rsid w:val="00A519F8"/>
    <w:rsid w:val="00A5237D"/>
    <w:rsid w:val="00A52B6C"/>
    <w:rsid w:val="00A52CCB"/>
    <w:rsid w:val="00A54AAA"/>
    <w:rsid w:val="00A552EA"/>
    <w:rsid w:val="00A616A2"/>
    <w:rsid w:val="00A6173E"/>
    <w:rsid w:val="00A634A8"/>
    <w:rsid w:val="00A63995"/>
    <w:rsid w:val="00A63C23"/>
    <w:rsid w:val="00A63C96"/>
    <w:rsid w:val="00A647A7"/>
    <w:rsid w:val="00A648F4"/>
    <w:rsid w:val="00A65BD2"/>
    <w:rsid w:val="00A66114"/>
    <w:rsid w:val="00A662E8"/>
    <w:rsid w:val="00A66BEF"/>
    <w:rsid w:val="00A70992"/>
    <w:rsid w:val="00A7395F"/>
    <w:rsid w:val="00A73A30"/>
    <w:rsid w:val="00A75AFA"/>
    <w:rsid w:val="00A75D18"/>
    <w:rsid w:val="00A81E4E"/>
    <w:rsid w:val="00A83AB5"/>
    <w:rsid w:val="00A85EB9"/>
    <w:rsid w:val="00A92D34"/>
    <w:rsid w:val="00A95B06"/>
    <w:rsid w:val="00A96A50"/>
    <w:rsid w:val="00A96D7E"/>
    <w:rsid w:val="00AA15B0"/>
    <w:rsid w:val="00AA2A85"/>
    <w:rsid w:val="00AA2F9A"/>
    <w:rsid w:val="00AA3C0E"/>
    <w:rsid w:val="00AA4BE5"/>
    <w:rsid w:val="00AA4C63"/>
    <w:rsid w:val="00AA703D"/>
    <w:rsid w:val="00AB0B9C"/>
    <w:rsid w:val="00AB11CD"/>
    <w:rsid w:val="00AB158D"/>
    <w:rsid w:val="00AB2634"/>
    <w:rsid w:val="00AB32F5"/>
    <w:rsid w:val="00AB5884"/>
    <w:rsid w:val="00AB61A8"/>
    <w:rsid w:val="00AB689C"/>
    <w:rsid w:val="00AC7B4A"/>
    <w:rsid w:val="00AD08C2"/>
    <w:rsid w:val="00AD3DD8"/>
    <w:rsid w:val="00AD3FCA"/>
    <w:rsid w:val="00AD7D53"/>
    <w:rsid w:val="00AE07CB"/>
    <w:rsid w:val="00AE0A2F"/>
    <w:rsid w:val="00AE0C37"/>
    <w:rsid w:val="00AE3AED"/>
    <w:rsid w:val="00AE3C81"/>
    <w:rsid w:val="00AE4B7A"/>
    <w:rsid w:val="00AE518F"/>
    <w:rsid w:val="00AE5401"/>
    <w:rsid w:val="00AE5729"/>
    <w:rsid w:val="00AE611F"/>
    <w:rsid w:val="00AE7306"/>
    <w:rsid w:val="00AF0FF4"/>
    <w:rsid w:val="00AF1119"/>
    <w:rsid w:val="00AF1A3F"/>
    <w:rsid w:val="00AF25C8"/>
    <w:rsid w:val="00AF2D60"/>
    <w:rsid w:val="00AF349F"/>
    <w:rsid w:val="00AF634B"/>
    <w:rsid w:val="00AF6B17"/>
    <w:rsid w:val="00B02A51"/>
    <w:rsid w:val="00B0379B"/>
    <w:rsid w:val="00B03D81"/>
    <w:rsid w:val="00B05BF9"/>
    <w:rsid w:val="00B07706"/>
    <w:rsid w:val="00B07D19"/>
    <w:rsid w:val="00B07FBF"/>
    <w:rsid w:val="00B10630"/>
    <w:rsid w:val="00B110CC"/>
    <w:rsid w:val="00B12142"/>
    <w:rsid w:val="00B13A2E"/>
    <w:rsid w:val="00B165A2"/>
    <w:rsid w:val="00B16C5E"/>
    <w:rsid w:val="00B1780A"/>
    <w:rsid w:val="00B21DDD"/>
    <w:rsid w:val="00B2297E"/>
    <w:rsid w:val="00B23420"/>
    <w:rsid w:val="00B236ED"/>
    <w:rsid w:val="00B251EE"/>
    <w:rsid w:val="00B2593F"/>
    <w:rsid w:val="00B26081"/>
    <w:rsid w:val="00B263C2"/>
    <w:rsid w:val="00B3142D"/>
    <w:rsid w:val="00B31BF8"/>
    <w:rsid w:val="00B35FAC"/>
    <w:rsid w:val="00B36C76"/>
    <w:rsid w:val="00B37175"/>
    <w:rsid w:val="00B374A7"/>
    <w:rsid w:val="00B37A51"/>
    <w:rsid w:val="00B41317"/>
    <w:rsid w:val="00B43A55"/>
    <w:rsid w:val="00B4478E"/>
    <w:rsid w:val="00B45CC3"/>
    <w:rsid w:val="00B46685"/>
    <w:rsid w:val="00B47621"/>
    <w:rsid w:val="00B519B2"/>
    <w:rsid w:val="00B5238F"/>
    <w:rsid w:val="00B55D83"/>
    <w:rsid w:val="00B55FBA"/>
    <w:rsid w:val="00B5644E"/>
    <w:rsid w:val="00B57293"/>
    <w:rsid w:val="00B61000"/>
    <w:rsid w:val="00B61BC6"/>
    <w:rsid w:val="00B620D8"/>
    <w:rsid w:val="00B623F3"/>
    <w:rsid w:val="00B6357A"/>
    <w:rsid w:val="00B63A12"/>
    <w:rsid w:val="00B6502D"/>
    <w:rsid w:val="00B67768"/>
    <w:rsid w:val="00B70B5C"/>
    <w:rsid w:val="00B71F5A"/>
    <w:rsid w:val="00B72204"/>
    <w:rsid w:val="00B723F7"/>
    <w:rsid w:val="00B72407"/>
    <w:rsid w:val="00B7294C"/>
    <w:rsid w:val="00B7337F"/>
    <w:rsid w:val="00B802D8"/>
    <w:rsid w:val="00B83C36"/>
    <w:rsid w:val="00B83CAE"/>
    <w:rsid w:val="00B8449F"/>
    <w:rsid w:val="00B84B39"/>
    <w:rsid w:val="00B85A35"/>
    <w:rsid w:val="00B935E3"/>
    <w:rsid w:val="00B948D7"/>
    <w:rsid w:val="00B954EF"/>
    <w:rsid w:val="00B96F66"/>
    <w:rsid w:val="00B97342"/>
    <w:rsid w:val="00B97617"/>
    <w:rsid w:val="00BA015B"/>
    <w:rsid w:val="00BA0428"/>
    <w:rsid w:val="00BA08D4"/>
    <w:rsid w:val="00BA08F9"/>
    <w:rsid w:val="00BA0E86"/>
    <w:rsid w:val="00BA24BC"/>
    <w:rsid w:val="00BA2BF5"/>
    <w:rsid w:val="00BA41C2"/>
    <w:rsid w:val="00BA5615"/>
    <w:rsid w:val="00BA66DA"/>
    <w:rsid w:val="00BA72BE"/>
    <w:rsid w:val="00BA7678"/>
    <w:rsid w:val="00BB0D51"/>
    <w:rsid w:val="00BB12F5"/>
    <w:rsid w:val="00BB1996"/>
    <w:rsid w:val="00BB204E"/>
    <w:rsid w:val="00BB252A"/>
    <w:rsid w:val="00BB449A"/>
    <w:rsid w:val="00BB5C25"/>
    <w:rsid w:val="00BC2C66"/>
    <w:rsid w:val="00BC3BEB"/>
    <w:rsid w:val="00BC4022"/>
    <w:rsid w:val="00BC4660"/>
    <w:rsid w:val="00BC50D8"/>
    <w:rsid w:val="00BC699A"/>
    <w:rsid w:val="00BC71E1"/>
    <w:rsid w:val="00BC7DEB"/>
    <w:rsid w:val="00BD1F1C"/>
    <w:rsid w:val="00BD3577"/>
    <w:rsid w:val="00BD52FB"/>
    <w:rsid w:val="00BE0A99"/>
    <w:rsid w:val="00BE0F8D"/>
    <w:rsid w:val="00BE1741"/>
    <w:rsid w:val="00BE2F33"/>
    <w:rsid w:val="00BE335C"/>
    <w:rsid w:val="00BE481A"/>
    <w:rsid w:val="00BE78AC"/>
    <w:rsid w:val="00BF0131"/>
    <w:rsid w:val="00BF1DA3"/>
    <w:rsid w:val="00BF2431"/>
    <w:rsid w:val="00BF2749"/>
    <w:rsid w:val="00BF2A8F"/>
    <w:rsid w:val="00BF2AB0"/>
    <w:rsid w:val="00BF2C9A"/>
    <w:rsid w:val="00BF5FE0"/>
    <w:rsid w:val="00BF741D"/>
    <w:rsid w:val="00C03B25"/>
    <w:rsid w:val="00C07D1B"/>
    <w:rsid w:val="00C17CAC"/>
    <w:rsid w:val="00C21BD2"/>
    <w:rsid w:val="00C2243B"/>
    <w:rsid w:val="00C23E6E"/>
    <w:rsid w:val="00C25657"/>
    <w:rsid w:val="00C25953"/>
    <w:rsid w:val="00C25F7D"/>
    <w:rsid w:val="00C26206"/>
    <w:rsid w:val="00C30B0F"/>
    <w:rsid w:val="00C30DFA"/>
    <w:rsid w:val="00C31B83"/>
    <w:rsid w:val="00C321B1"/>
    <w:rsid w:val="00C32FBE"/>
    <w:rsid w:val="00C359D8"/>
    <w:rsid w:val="00C35CE9"/>
    <w:rsid w:val="00C36544"/>
    <w:rsid w:val="00C370F1"/>
    <w:rsid w:val="00C42377"/>
    <w:rsid w:val="00C43AD9"/>
    <w:rsid w:val="00C4400F"/>
    <w:rsid w:val="00C44B44"/>
    <w:rsid w:val="00C47941"/>
    <w:rsid w:val="00C527DD"/>
    <w:rsid w:val="00C54306"/>
    <w:rsid w:val="00C5471B"/>
    <w:rsid w:val="00C54AEA"/>
    <w:rsid w:val="00C54D3E"/>
    <w:rsid w:val="00C55422"/>
    <w:rsid w:val="00C57685"/>
    <w:rsid w:val="00C57970"/>
    <w:rsid w:val="00C62B37"/>
    <w:rsid w:val="00C639D2"/>
    <w:rsid w:val="00C64E8A"/>
    <w:rsid w:val="00C6551D"/>
    <w:rsid w:val="00C6552C"/>
    <w:rsid w:val="00C65E56"/>
    <w:rsid w:val="00C66E1E"/>
    <w:rsid w:val="00C66F6C"/>
    <w:rsid w:val="00C6727E"/>
    <w:rsid w:val="00C679A3"/>
    <w:rsid w:val="00C67CC1"/>
    <w:rsid w:val="00C7096C"/>
    <w:rsid w:val="00C73875"/>
    <w:rsid w:val="00C757C8"/>
    <w:rsid w:val="00C759DE"/>
    <w:rsid w:val="00C7608C"/>
    <w:rsid w:val="00C764EE"/>
    <w:rsid w:val="00C772AD"/>
    <w:rsid w:val="00C773A0"/>
    <w:rsid w:val="00C807F5"/>
    <w:rsid w:val="00C80D2E"/>
    <w:rsid w:val="00C80E5E"/>
    <w:rsid w:val="00C816F1"/>
    <w:rsid w:val="00C84160"/>
    <w:rsid w:val="00C849E3"/>
    <w:rsid w:val="00C85E05"/>
    <w:rsid w:val="00C869F0"/>
    <w:rsid w:val="00C86B59"/>
    <w:rsid w:val="00C875E7"/>
    <w:rsid w:val="00C87955"/>
    <w:rsid w:val="00C91C43"/>
    <w:rsid w:val="00C93CC1"/>
    <w:rsid w:val="00C95578"/>
    <w:rsid w:val="00C958D7"/>
    <w:rsid w:val="00C97839"/>
    <w:rsid w:val="00CA0DED"/>
    <w:rsid w:val="00CA1D8B"/>
    <w:rsid w:val="00CA2727"/>
    <w:rsid w:val="00CA46AA"/>
    <w:rsid w:val="00CA4F61"/>
    <w:rsid w:val="00CA5FF9"/>
    <w:rsid w:val="00CA62FC"/>
    <w:rsid w:val="00CA6D37"/>
    <w:rsid w:val="00CA796B"/>
    <w:rsid w:val="00CB17EB"/>
    <w:rsid w:val="00CB36F8"/>
    <w:rsid w:val="00CB371D"/>
    <w:rsid w:val="00CB394B"/>
    <w:rsid w:val="00CB4061"/>
    <w:rsid w:val="00CB4248"/>
    <w:rsid w:val="00CB5388"/>
    <w:rsid w:val="00CB56A0"/>
    <w:rsid w:val="00CB6494"/>
    <w:rsid w:val="00CC0A6F"/>
    <w:rsid w:val="00CC1E34"/>
    <w:rsid w:val="00CC1F14"/>
    <w:rsid w:val="00CC2EBB"/>
    <w:rsid w:val="00CC2F73"/>
    <w:rsid w:val="00CC4AEB"/>
    <w:rsid w:val="00CC6FD7"/>
    <w:rsid w:val="00CD41DC"/>
    <w:rsid w:val="00CD6548"/>
    <w:rsid w:val="00CE1C74"/>
    <w:rsid w:val="00CE28C1"/>
    <w:rsid w:val="00CE3929"/>
    <w:rsid w:val="00CE4C7D"/>
    <w:rsid w:val="00CE6E71"/>
    <w:rsid w:val="00CE7192"/>
    <w:rsid w:val="00CE7A60"/>
    <w:rsid w:val="00CF1998"/>
    <w:rsid w:val="00CF1F1D"/>
    <w:rsid w:val="00CF311C"/>
    <w:rsid w:val="00CF3E4F"/>
    <w:rsid w:val="00CF4293"/>
    <w:rsid w:val="00CF448C"/>
    <w:rsid w:val="00D01EFA"/>
    <w:rsid w:val="00D02DB6"/>
    <w:rsid w:val="00D06892"/>
    <w:rsid w:val="00D10CC4"/>
    <w:rsid w:val="00D16CF8"/>
    <w:rsid w:val="00D16DAF"/>
    <w:rsid w:val="00D23051"/>
    <w:rsid w:val="00D23360"/>
    <w:rsid w:val="00D24156"/>
    <w:rsid w:val="00D241B0"/>
    <w:rsid w:val="00D243D8"/>
    <w:rsid w:val="00D26505"/>
    <w:rsid w:val="00D26521"/>
    <w:rsid w:val="00D26C3A"/>
    <w:rsid w:val="00D26CE3"/>
    <w:rsid w:val="00D26FC2"/>
    <w:rsid w:val="00D3054D"/>
    <w:rsid w:val="00D30D5E"/>
    <w:rsid w:val="00D319C7"/>
    <w:rsid w:val="00D31A54"/>
    <w:rsid w:val="00D3207B"/>
    <w:rsid w:val="00D3216E"/>
    <w:rsid w:val="00D337F7"/>
    <w:rsid w:val="00D34740"/>
    <w:rsid w:val="00D34E5B"/>
    <w:rsid w:val="00D356BB"/>
    <w:rsid w:val="00D37340"/>
    <w:rsid w:val="00D41745"/>
    <w:rsid w:val="00D41D50"/>
    <w:rsid w:val="00D4292E"/>
    <w:rsid w:val="00D439C4"/>
    <w:rsid w:val="00D448E3"/>
    <w:rsid w:val="00D4571D"/>
    <w:rsid w:val="00D45E47"/>
    <w:rsid w:val="00D5009D"/>
    <w:rsid w:val="00D5112D"/>
    <w:rsid w:val="00D5330F"/>
    <w:rsid w:val="00D54470"/>
    <w:rsid w:val="00D550BE"/>
    <w:rsid w:val="00D56AD2"/>
    <w:rsid w:val="00D56E23"/>
    <w:rsid w:val="00D57324"/>
    <w:rsid w:val="00D62D77"/>
    <w:rsid w:val="00D6790E"/>
    <w:rsid w:val="00D71409"/>
    <w:rsid w:val="00D7143B"/>
    <w:rsid w:val="00D72B17"/>
    <w:rsid w:val="00D73F0F"/>
    <w:rsid w:val="00D74CE1"/>
    <w:rsid w:val="00D74EFB"/>
    <w:rsid w:val="00D76575"/>
    <w:rsid w:val="00D775FB"/>
    <w:rsid w:val="00D81BA0"/>
    <w:rsid w:val="00D8316F"/>
    <w:rsid w:val="00D832B4"/>
    <w:rsid w:val="00D85B39"/>
    <w:rsid w:val="00D864A5"/>
    <w:rsid w:val="00D869A7"/>
    <w:rsid w:val="00D87E4E"/>
    <w:rsid w:val="00D910F0"/>
    <w:rsid w:val="00D9174C"/>
    <w:rsid w:val="00D91BA4"/>
    <w:rsid w:val="00D940B0"/>
    <w:rsid w:val="00D94B2D"/>
    <w:rsid w:val="00D9524A"/>
    <w:rsid w:val="00D96532"/>
    <w:rsid w:val="00D96A57"/>
    <w:rsid w:val="00DA178A"/>
    <w:rsid w:val="00DA304A"/>
    <w:rsid w:val="00DA33DD"/>
    <w:rsid w:val="00DA359E"/>
    <w:rsid w:val="00DA3CF3"/>
    <w:rsid w:val="00DA3DBC"/>
    <w:rsid w:val="00DA3E88"/>
    <w:rsid w:val="00DA48C1"/>
    <w:rsid w:val="00DA50B0"/>
    <w:rsid w:val="00DA7005"/>
    <w:rsid w:val="00DB1E93"/>
    <w:rsid w:val="00DB29B3"/>
    <w:rsid w:val="00DB395A"/>
    <w:rsid w:val="00DB3F60"/>
    <w:rsid w:val="00DB4118"/>
    <w:rsid w:val="00DB45C2"/>
    <w:rsid w:val="00DB4D1F"/>
    <w:rsid w:val="00DB61A3"/>
    <w:rsid w:val="00DB7FCB"/>
    <w:rsid w:val="00DC088B"/>
    <w:rsid w:val="00DC1D96"/>
    <w:rsid w:val="00DC3113"/>
    <w:rsid w:val="00DC4377"/>
    <w:rsid w:val="00DC4FA8"/>
    <w:rsid w:val="00DC6F3B"/>
    <w:rsid w:val="00DC7B08"/>
    <w:rsid w:val="00DD2129"/>
    <w:rsid w:val="00DD2A5D"/>
    <w:rsid w:val="00DD504B"/>
    <w:rsid w:val="00DD6EE2"/>
    <w:rsid w:val="00DD77CF"/>
    <w:rsid w:val="00DE0276"/>
    <w:rsid w:val="00DE0EAE"/>
    <w:rsid w:val="00DE1319"/>
    <w:rsid w:val="00DE1382"/>
    <w:rsid w:val="00DE333F"/>
    <w:rsid w:val="00DE3C2E"/>
    <w:rsid w:val="00DE4A3F"/>
    <w:rsid w:val="00DE4E87"/>
    <w:rsid w:val="00DE5BC3"/>
    <w:rsid w:val="00DF0EB2"/>
    <w:rsid w:val="00DF33EA"/>
    <w:rsid w:val="00DF3429"/>
    <w:rsid w:val="00DF5AD9"/>
    <w:rsid w:val="00DF5F40"/>
    <w:rsid w:val="00E00FBD"/>
    <w:rsid w:val="00E01578"/>
    <w:rsid w:val="00E01A00"/>
    <w:rsid w:val="00E029C5"/>
    <w:rsid w:val="00E0411A"/>
    <w:rsid w:val="00E04BF2"/>
    <w:rsid w:val="00E05F04"/>
    <w:rsid w:val="00E0642E"/>
    <w:rsid w:val="00E074D4"/>
    <w:rsid w:val="00E10545"/>
    <w:rsid w:val="00E12E10"/>
    <w:rsid w:val="00E13837"/>
    <w:rsid w:val="00E17AD8"/>
    <w:rsid w:val="00E17B22"/>
    <w:rsid w:val="00E2035E"/>
    <w:rsid w:val="00E20D7E"/>
    <w:rsid w:val="00E210B9"/>
    <w:rsid w:val="00E23217"/>
    <w:rsid w:val="00E275BB"/>
    <w:rsid w:val="00E27B4F"/>
    <w:rsid w:val="00E30856"/>
    <w:rsid w:val="00E31D5D"/>
    <w:rsid w:val="00E321A0"/>
    <w:rsid w:val="00E3305B"/>
    <w:rsid w:val="00E33155"/>
    <w:rsid w:val="00E33436"/>
    <w:rsid w:val="00E33486"/>
    <w:rsid w:val="00E33BD3"/>
    <w:rsid w:val="00E35033"/>
    <w:rsid w:val="00E35E5B"/>
    <w:rsid w:val="00E36765"/>
    <w:rsid w:val="00E3681D"/>
    <w:rsid w:val="00E36BAF"/>
    <w:rsid w:val="00E37EC7"/>
    <w:rsid w:val="00E424C7"/>
    <w:rsid w:val="00E42BFA"/>
    <w:rsid w:val="00E42C6A"/>
    <w:rsid w:val="00E432E9"/>
    <w:rsid w:val="00E44471"/>
    <w:rsid w:val="00E45621"/>
    <w:rsid w:val="00E4584B"/>
    <w:rsid w:val="00E4713E"/>
    <w:rsid w:val="00E50238"/>
    <w:rsid w:val="00E50931"/>
    <w:rsid w:val="00E50C98"/>
    <w:rsid w:val="00E51FD2"/>
    <w:rsid w:val="00E53589"/>
    <w:rsid w:val="00E541C2"/>
    <w:rsid w:val="00E54670"/>
    <w:rsid w:val="00E55E20"/>
    <w:rsid w:val="00E56108"/>
    <w:rsid w:val="00E56B09"/>
    <w:rsid w:val="00E57A80"/>
    <w:rsid w:val="00E628C8"/>
    <w:rsid w:val="00E640FE"/>
    <w:rsid w:val="00E64B7C"/>
    <w:rsid w:val="00E650E0"/>
    <w:rsid w:val="00E7010D"/>
    <w:rsid w:val="00E70240"/>
    <w:rsid w:val="00E70837"/>
    <w:rsid w:val="00E70D35"/>
    <w:rsid w:val="00E727AA"/>
    <w:rsid w:val="00E72BAE"/>
    <w:rsid w:val="00E74AD4"/>
    <w:rsid w:val="00E75068"/>
    <w:rsid w:val="00E77E79"/>
    <w:rsid w:val="00E806E2"/>
    <w:rsid w:val="00E8120B"/>
    <w:rsid w:val="00E813D3"/>
    <w:rsid w:val="00E8184F"/>
    <w:rsid w:val="00E81B4C"/>
    <w:rsid w:val="00E82C31"/>
    <w:rsid w:val="00E8372F"/>
    <w:rsid w:val="00E84F4F"/>
    <w:rsid w:val="00E871E5"/>
    <w:rsid w:val="00E87808"/>
    <w:rsid w:val="00E9075F"/>
    <w:rsid w:val="00E95ED2"/>
    <w:rsid w:val="00E967C5"/>
    <w:rsid w:val="00E97EA4"/>
    <w:rsid w:val="00EA12E3"/>
    <w:rsid w:val="00EA2FD4"/>
    <w:rsid w:val="00EA3018"/>
    <w:rsid w:val="00EA3AB8"/>
    <w:rsid w:val="00EA58BB"/>
    <w:rsid w:val="00EA65A1"/>
    <w:rsid w:val="00EA6CAA"/>
    <w:rsid w:val="00EB048A"/>
    <w:rsid w:val="00EB2F7F"/>
    <w:rsid w:val="00EB338D"/>
    <w:rsid w:val="00EB34F7"/>
    <w:rsid w:val="00EB3CAC"/>
    <w:rsid w:val="00EB4A4D"/>
    <w:rsid w:val="00EB4D95"/>
    <w:rsid w:val="00EB6EFF"/>
    <w:rsid w:val="00EC08CC"/>
    <w:rsid w:val="00EC1644"/>
    <w:rsid w:val="00EC1649"/>
    <w:rsid w:val="00EC1F5A"/>
    <w:rsid w:val="00EC41B9"/>
    <w:rsid w:val="00EC5C1D"/>
    <w:rsid w:val="00EC6113"/>
    <w:rsid w:val="00ED018D"/>
    <w:rsid w:val="00ED09EB"/>
    <w:rsid w:val="00ED199B"/>
    <w:rsid w:val="00ED229D"/>
    <w:rsid w:val="00ED2EE4"/>
    <w:rsid w:val="00ED5244"/>
    <w:rsid w:val="00ED5C42"/>
    <w:rsid w:val="00ED5F66"/>
    <w:rsid w:val="00ED66B2"/>
    <w:rsid w:val="00ED7A52"/>
    <w:rsid w:val="00ED7C21"/>
    <w:rsid w:val="00EE124B"/>
    <w:rsid w:val="00EE2FE6"/>
    <w:rsid w:val="00EE3A7C"/>
    <w:rsid w:val="00EE41BA"/>
    <w:rsid w:val="00EE730A"/>
    <w:rsid w:val="00EF0B11"/>
    <w:rsid w:val="00EF2527"/>
    <w:rsid w:val="00EF3980"/>
    <w:rsid w:val="00EF48A3"/>
    <w:rsid w:val="00EF4A18"/>
    <w:rsid w:val="00EF4AED"/>
    <w:rsid w:val="00EF586D"/>
    <w:rsid w:val="00F00D8B"/>
    <w:rsid w:val="00F020A2"/>
    <w:rsid w:val="00F036DD"/>
    <w:rsid w:val="00F059AD"/>
    <w:rsid w:val="00F05A58"/>
    <w:rsid w:val="00F06160"/>
    <w:rsid w:val="00F07103"/>
    <w:rsid w:val="00F072B8"/>
    <w:rsid w:val="00F078A4"/>
    <w:rsid w:val="00F079BC"/>
    <w:rsid w:val="00F10428"/>
    <w:rsid w:val="00F109C1"/>
    <w:rsid w:val="00F109EB"/>
    <w:rsid w:val="00F10D73"/>
    <w:rsid w:val="00F115DD"/>
    <w:rsid w:val="00F11A21"/>
    <w:rsid w:val="00F125E1"/>
    <w:rsid w:val="00F12D33"/>
    <w:rsid w:val="00F13141"/>
    <w:rsid w:val="00F15E22"/>
    <w:rsid w:val="00F162BC"/>
    <w:rsid w:val="00F169D0"/>
    <w:rsid w:val="00F17C7D"/>
    <w:rsid w:val="00F204DA"/>
    <w:rsid w:val="00F210F0"/>
    <w:rsid w:val="00F21390"/>
    <w:rsid w:val="00F21AEC"/>
    <w:rsid w:val="00F247A6"/>
    <w:rsid w:val="00F25EB7"/>
    <w:rsid w:val="00F25F71"/>
    <w:rsid w:val="00F2642B"/>
    <w:rsid w:val="00F26CBF"/>
    <w:rsid w:val="00F30239"/>
    <w:rsid w:val="00F30B42"/>
    <w:rsid w:val="00F31441"/>
    <w:rsid w:val="00F33A6E"/>
    <w:rsid w:val="00F34C4B"/>
    <w:rsid w:val="00F3552F"/>
    <w:rsid w:val="00F36215"/>
    <w:rsid w:val="00F36BF7"/>
    <w:rsid w:val="00F40D45"/>
    <w:rsid w:val="00F41D29"/>
    <w:rsid w:val="00F42F77"/>
    <w:rsid w:val="00F46077"/>
    <w:rsid w:val="00F462DC"/>
    <w:rsid w:val="00F47731"/>
    <w:rsid w:val="00F50589"/>
    <w:rsid w:val="00F50E7D"/>
    <w:rsid w:val="00F514D6"/>
    <w:rsid w:val="00F517CC"/>
    <w:rsid w:val="00F5284C"/>
    <w:rsid w:val="00F533E9"/>
    <w:rsid w:val="00F5577D"/>
    <w:rsid w:val="00F559EC"/>
    <w:rsid w:val="00F55FA8"/>
    <w:rsid w:val="00F61788"/>
    <w:rsid w:val="00F62D45"/>
    <w:rsid w:val="00F63B35"/>
    <w:rsid w:val="00F64278"/>
    <w:rsid w:val="00F64AE0"/>
    <w:rsid w:val="00F66990"/>
    <w:rsid w:val="00F70A5B"/>
    <w:rsid w:val="00F72EDC"/>
    <w:rsid w:val="00F72EEC"/>
    <w:rsid w:val="00F742FF"/>
    <w:rsid w:val="00F75683"/>
    <w:rsid w:val="00F7669C"/>
    <w:rsid w:val="00F76C90"/>
    <w:rsid w:val="00F775B4"/>
    <w:rsid w:val="00F80978"/>
    <w:rsid w:val="00F82856"/>
    <w:rsid w:val="00F828E8"/>
    <w:rsid w:val="00F82C4B"/>
    <w:rsid w:val="00F83D57"/>
    <w:rsid w:val="00F85243"/>
    <w:rsid w:val="00F86C71"/>
    <w:rsid w:val="00F8739A"/>
    <w:rsid w:val="00F87B07"/>
    <w:rsid w:val="00F90784"/>
    <w:rsid w:val="00F9183B"/>
    <w:rsid w:val="00F92973"/>
    <w:rsid w:val="00F92C8D"/>
    <w:rsid w:val="00F930CA"/>
    <w:rsid w:val="00F940A2"/>
    <w:rsid w:val="00F9494E"/>
    <w:rsid w:val="00F95D48"/>
    <w:rsid w:val="00FA14A6"/>
    <w:rsid w:val="00FA25CB"/>
    <w:rsid w:val="00FA48A9"/>
    <w:rsid w:val="00FA4DC3"/>
    <w:rsid w:val="00FA5519"/>
    <w:rsid w:val="00FB11F6"/>
    <w:rsid w:val="00FB1A3D"/>
    <w:rsid w:val="00FB2400"/>
    <w:rsid w:val="00FB4514"/>
    <w:rsid w:val="00FB48E3"/>
    <w:rsid w:val="00FB4D42"/>
    <w:rsid w:val="00FB6891"/>
    <w:rsid w:val="00FC05A7"/>
    <w:rsid w:val="00FC0F67"/>
    <w:rsid w:val="00FC1482"/>
    <w:rsid w:val="00FC2635"/>
    <w:rsid w:val="00FC29BB"/>
    <w:rsid w:val="00FC2F2F"/>
    <w:rsid w:val="00FC35A7"/>
    <w:rsid w:val="00FC4164"/>
    <w:rsid w:val="00FD18DC"/>
    <w:rsid w:val="00FD1BCB"/>
    <w:rsid w:val="00FD2F2B"/>
    <w:rsid w:val="00FD40F8"/>
    <w:rsid w:val="00FD5EAE"/>
    <w:rsid w:val="00FE0194"/>
    <w:rsid w:val="00FE06B9"/>
    <w:rsid w:val="00FE0CB9"/>
    <w:rsid w:val="00FE2943"/>
    <w:rsid w:val="00FE75AF"/>
    <w:rsid w:val="00FF05E6"/>
    <w:rsid w:val="00FF6FE9"/>
    <w:rsid w:val="00FF7BA6"/>
    <w:rsid w:val="016D19EC"/>
    <w:rsid w:val="02620292"/>
    <w:rsid w:val="02D73510"/>
    <w:rsid w:val="02F76385"/>
    <w:rsid w:val="03825B54"/>
    <w:rsid w:val="03930400"/>
    <w:rsid w:val="039F2D28"/>
    <w:rsid w:val="03C03826"/>
    <w:rsid w:val="04936845"/>
    <w:rsid w:val="04953305"/>
    <w:rsid w:val="04AB0032"/>
    <w:rsid w:val="04F52761"/>
    <w:rsid w:val="054952DB"/>
    <w:rsid w:val="057E6A97"/>
    <w:rsid w:val="06327481"/>
    <w:rsid w:val="06D85C3F"/>
    <w:rsid w:val="0724284E"/>
    <w:rsid w:val="076B3AA9"/>
    <w:rsid w:val="07B35EA5"/>
    <w:rsid w:val="07CD27F4"/>
    <w:rsid w:val="07CF72E1"/>
    <w:rsid w:val="08746B1E"/>
    <w:rsid w:val="09214EAE"/>
    <w:rsid w:val="09B559C3"/>
    <w:rsid w:val="0A1F7272"/>
    <w:rsid w:val="0ACC04CB"/>
    <w:rsid w:val="0C061FF2"/>
    <w:rsid w:val="0C1828B6"/>
    <w:rsid w:val="0C253B66"/>
    <w:rsid w:val="0C5B4C8F"/>
    <w:rsid w:val="0D033D0D"/>
    <w:rsid w:val="0DBD1BD2"/>
    <w:rsid w:val="0DD45397"/>
    <w:rsid w:val="0F9D052D"/>
    <w:rsid w:val="0FCB2EC1"/>
    <w:rsid w:val="100D7973"/>
    <w:rsid w:val="10303744"/>
    <w:rsid w:val="105C7E44"/>
    <w:rsid w:val="1081477A"/>
    <w:rsid w:val="10B27E43"/>
    <w:rsid w:val="10E66B3E"/>
    <w:rsid w:val="11246421"/>
    <w:rsid w:val="1126137C"/>
    <w:rsid w:val="118F08C2"/>
    <w:rsid w:val="127B5B78"/>
    <w:rsid w:val="12A404D1"/>
    <w:rsid w:val="12E84200"/>
    <w:rsid w:val="1364765E"/>
    <w:rsid w:val="13B60071"/>
    <w:rsid w:val="13BA3DDB"/>
    <w:rsid w:val="13EA55D5"/>
    <w:rsid w:val="143B5F17"/>
    <w:rsid w:val="14A25E40"/>
    <w:rsid w:val="14D859B7"/>
    <w:rsid w:val="154A3272"/>
    <w:rsid w:val="1574011A"/>
    <w:rsid w:val="1649517D"/>
    <w:rsid w:val="169529E5"/>
    <w:rsid w:val="16A32336"/>
    <w:rsid w:val="1751338A"/>
    <w:rsid w:val="17641EBD"/>
    <w:rsid w:val="176F4F46"/>
    <w:rsid w:val="17ED1D5F"/>
    <w:rsid w:val="187359C9"/>
    <w:rsid w:val="18A46BF4"/>
    <w:rsid w:val="19204C2E"/>
    <w:rsid w:val="1A212E06"/>
    <w:rsid w:val="1A442402"/>
    <w:rsid w:val="1A716CB1"/>
    <w:rsid w:val="1B1E5940"/>
    <w:rsid w:val="1B260C17"/>
    <w:rsid w:val="1C0E1051"/>
    <w:rsid w:val="1C3118EC"/>
    <w:rsid w:val="1C5B2B58"/>
    <w:rsid w:val="1F1A1045"/>
    <w:rsid w:val="1FAA72EB"/>
    <w:rsid w:val="20005872"/>
    <w:rsid w:val="20722EF7"/>
    <w:rsid w:val="20C036F1"/>
    <w:rsid w:val="20DD2B59"/>
    <w:rsid w:val="211233FF"/>
    <w:rsid w:val="217A3718"/>
    <w:rsid w:val="219360E7"/>
    <w:rsid w:val="21A206E6"/>
    <w:rsid w:val="21F52495"/>
    <w:rsid w:val="22E87812"/>
    <w:rsid w:val="230C1DA9"/>
    <w:rsid w:val="2316381F"/>
    <w:rsid w:val="232958E0"/>
    <w:rsid w:val="234912AD"/>
    <w:rsid w:val="235D0ECF"/>
    <w:rsid w:val="23FE6B7B"/>
    <w:rsid w:val="24492338"/>
    <w:rsid w:val="24551ED0"/>
    <w:rsid w:val="246E442D"/>
    <w:rsid w:val="24AF4B7D"/>
    <w:rsid w:val="24E205D8"/>
    <w:rsid w:val="25D54933"/>
    <w:rsid w:val="263F554B"/>
    <w:rsid w:val="264C5958"/>
    <w:rsid w:val="27A71E48"/>
    <w:rsid w:val="27B47B7F"/>
    <w:rsid w:val="27E375E8"/>
    <w:rsid w:val="28870F41"/>
    <w:rsid w:val="289E14C4"/>
    <w:rsid w:val="29590147"/>
    <w:rsid w:val="29597B33"/>
    <w:rsid w:val="2968361D"/>
    <w:rsid w:val="29B5793D"/>
    <w:rsid w:val="29DB21D0"/>
    <w:rsid w:val="2A105181"/>
    <w:rsid w:val="2A24600D"/>
    <w:rsid w:val="2A98603F"/>
    <w:rsid w:val="2B7C46C7"/>
    <w:rsid w:val="2C2767F3"/>
    <w:rsid w:val="2D0B4053"/>
    <w:rsid w:val="2D3677C6"/>
    <w:rsid w:val="2E3076E2"/>
    <w:rsid w:val="2EB109F3"/>
    <w:rsid w:val="2EBF0677"/>
    <w:rsid w:val="2F62141A"/>
    <w:rsid w:val="2FA25DD8"/>
    <w:rsid w:val="2FEF22E1"/>
    <w:rsid w:val="30245256"/>
    <w:rsid w:val="305E59C5"/>
    <w:rsid w:val="307C5687"/>
    <w:rsid w:val="30C322EC"/>
    <w:rsid w:val="315E0417"/>
    <w:rsid w:val="32254057"/>
    <w:rsid w:val="334F0F7B"/>
    <w:rsid w:val="342A267A"/>
    <w:rsid w:val="343F6B5B"/>
    <w:rsid w:val="345912F6"/>
    <w:rsid w:val="34BF2BBB"/>
    <w:rsid w:val="34C208FD"/>
    <w:rsid w:val="35AE0331"/>
    <w:rsid w:val="35D748F3"/>
    <w:rsid w:val="36071820"/>
    <w:rsid w:val="3621689F"/>
    <w:rsid w:val="3648073F"/>
    <w:rsid w:val="36D304EA"/>
    <w:rsid w:val="37047DB1"/>
    <w:rsid w:val="37833CBE"/>
    <w:rsid w:val="37983D47"/>
    <w:rsid w:val="37CB3969"/>
    <w:rsid w:val="37F50B21"/>
    <w:rsid w:val="37F828FA"/>
    <w:rsid w:val="38353194"/>
    <w:rsid w:val="38D43D3D"/>
    <w:rsid w:val="39382F3B"/>
    <w:rsid w:val="39EC3012"/>
    <w:rsid w:val="39EF319F"/>
    <w:rsid w:val="3A190ABD"/>
    <w:rsid w:val="3A513983"/>
    <w:rsid w:val="3BB87ED6"/>
    <w:rsid w:val="3BC56B35"/>
    <w:rsid w:val="3BE011DA"/>
    <w:rsid w:val="3C1A6DF8"/>
    <w:rsid w:val="3C380036"/>
    <w:rsid w:val="3C427041"/>
    <w:rsid w:val="3C6505E8"/>
    <w:rsid w:val="3CF519DF"/>
    <w:rsid w:val="3D877383"/>
    <w:rsid w:val="3D8C5E34"/>
    <w:rsid w:val="3E86074C"/>
    <w:rsid w:val="3ECF60F0"/>
    <w:rsid w:val="3F1F6373"/>
    <w:rsid w:val="3F3E2B08"/>
    <w:rsid w:val="3F740B6B"/>
    <w:rsid w:val="3F7F363A"/>
    <w:rsid w:val="3F8F715A"/>
    <w:rsid w:val="3F984338"/>
    <w:rsid w:val="403D352D"/>
    <w:rsid w:val="40BF5C05"/>
    <w:rsid w:val="41154BE4"/>
    <w:rsid w:val="41666A22"/>
    <w:rsid w:val="42871995"/>
    <w:rsid w:val="42E95E3F"/>
    <w:rsid w:val="43AC7D62"/>
    <w:rsid w:val="449000D0"/>
    <w:rsid w:val="44992215"/>
    <w:rsid w:val="44E27F08"/>
    <w:rsid w:val="44F4762C"/>
    <w:rsid w:val="45510AD2"/>
    <w:rsid w:val="456A1C45"/>
    <w:rsid w:val="457C7B20"/>
    <w:rsid w:val="459638F1"/>
    <w:rsid w:val="47370189"/>
    <w:rsid w:val="477C5CFA"/>
    <w:rsid w:val="47890A50"/>
    <w:rsid w:val="47A97449"/>
    <w:rsid w:val="48B620D8"/>
    <w:rsid w:val="4934276E"/>
    <w:rsid w:val="496B2A9E"/>
    <w:rsid w:val="497822E8"/>
    <w:rsid w:val="499735F8"/>
    <w:rsid w:val="49C85B87"/>
    <w:rsid w:val="4A02381D"/>
    <w:rsid w:val="4A7E3F68"/>
    <w:rsid w:val="4AE77C26"/>
    <w:rsid w:val="4B1F21AD"/>
    <w:rsid w:val="4B6B2592"/>
    <w:rsid w:val="4B6D14B8"/>
    <w:rsid w:val="4C1C3555"/>
    <w:rsid w:val="4CBA55DB"/>
    <w:rsid w:val="4CD41B34"/>
    <w:rsid w:val="4D6B557E"/>
    <w:rsid w:val="4D8A2B84"/>
    <w:rsid w:val="4DC4552D"/>
    <w:rsid w:val="4DDE31C3"/>
    <w:rsid w:val="4DE71334"/>
    <w:rsid w:val="4EBC066C"/>
    <w:rsid w:val="4EEE048E"/>
    <w:rsid w:val="4EFA23A4"/>
    <w:rsid w:val="4F2E6E63"/>
    <w:rsid w:val="4F93391F"/>
    <w:rsid w:val="4FED66F8"/>
    <w:rsid w:val="504D36E1"/>
    <w:rsid w:val="505E5526"/>
    <w:rsid w:val="509B22D6"/>
    <w:rsid w:val="50DD6DA2"/>
    <w:rsid w:val="50DF03E5"/>
    <w:rsid w:val="511947EF"/>
    <w:rsid w:val="51BC194B"/>
    <w:rsid w:val="523C090B"/>
    <w:rsid w:val="525B65A1"/>
    <w:rsid w:val="526E36C6"/>
    <w:rsid w:val="52B4011B"/>
    <w:rsid w:val="52BC4786"/>
    <w:rsid w:val="52FA56F0"/>
    <w:rsid w:val="53BD3ED8"/>
    <w:rsid w:val="53EA1D80"/>
    <w:rsid w:val="54372316"/>
    <w:rsid w:val="54674761"/>
    <w:rsid w:val="552E2464"/>
    <w:rsid w:val="55B425D7"/>
    <w:rsid w:val="567C2152"/>
    <w:rsid w:val="569876F2"/>
    <w:rsid w:val="56BF5CBC"/>
    <w:rsid w:val="56E90A44"/>
    <w:rsid w:val="56F03EC0"/>
    <w:rsid w:val="57415259"/>
    <w:rsid w:val="57892139"/>
    <w:rsid w:val="57AE775F"/>
    <w:rsid w:val="58503173"/>
    <w:rsid w:val="5863578E"/>
    <w:rsid w:val="59273E01"/>
    <w:rsid w:val="592A5554"/>
    <w:rsid w:val="59A654D8"/>
    <w:rsid w:val="59D029B4"/>
    <w:rsid w:val="5A5B2530"/>
    <w:rsid w:val="5ACB084E"/>
    <w:rsid w:val="5B5F7A7D"/>
    <w:rsid w:val="5C5617A7"/>
    <w:rsid w:val="5C7E7281"/>
    <w:rsid w:val="5CDC6150"/>
    <w:rsid w:val="5D5A7DA1"/>
    <w:rsid w:val="5DB91FED"/>
    <w:rsid w:val="5DC04BFE"/>
    <w:rsid w:val="5E011937"/>
    <w:rsid w:val="5E1D2200"/>
    <w:rsid w:val="5F021B68"/>
    <w:rsid w:val="5F0F1F38"/>
    <w:rsid w:val="5F2341CE"/>
    <w:rsid w:val="5F9114CB"/>
    <w:rsid w:val="602720A4"/>
    <w:rsid w:val="60EC3090"/>
    <w:rsid w:val="612D1C89"/>
    <w:rsid w:val="614B11AE"/>
    <w:rsid w:val="629C33E9"/>
    <w:rsid w:val="62F75160"/>
    <w:rsid w:val="63647D06"/>
    <w:rsid w:val="63AD26C1"/>
    <w:rsid w:val="64546491"/>
    <w:rsid w:val="6494584E"/>
    <w:rsid w:val="649B244D"/>
    <w:rsid w:val="64D43AFB"/>
    <w:rsid w:val="65342CB5"/>
    <w:rsid w:val="65521244"/>
    <w:rsid w:val="6570413A"/>
    <w:rsid w:val="659F4319"/>
    <w:rsid w:val="669C06FE"/>
    <w:rsid w:val="67073B0D"/>
    <w:rsid w:val="67B878C3"/>
    <w:rsid w:val="67F9069B"/>
    <w:rsid w:val="681948E8"/>
    <w:rsid w:val="68E80B0C"/>
    <w:rsid w:val="695416A2"/>
    <w:rsid w:val="69836291"/>
    <w:rsid w:val="699D76C1"/>
    <w:rsid w:val="6A1F77A9"/>
    <w:rsid w:val="6A9B3E6A"/>
    <w:rsid w:val="6AAD4832"/>
    <w:rsid w:val="6B7A65E7"/>
    <w:rsid w:val="6B916358"/>
    <w:rsid w:val="6C293CB9"/>
    <w:rsid w:val="6DAC7BBD"/>
    <w:rsid w:val="6E537415"/>
    <w:rsid w:val="6E876C87"/>
    <w:rsid w:val="6EFB30ED"/>
    <w:rsid w:val="6FE80510"/>
    <w:rsid w:val="70CB6EF9"/>
    <w:rsid w:val="71020D1C"/>
    <w:rsid w:val="71063344"/>
    <w:rsid w:val="71BA381E"/>
    <w:rsid w:val="71BE6F11"/>
    <w:rsid w:val="728F62F2"/>
    <w:rsid w:val="72BF7C4E"/>
    <w:rsid w:val="73FD0FC0"/>
    <w:rsid w:val="748103D6"/>
    <w:rsid w:val="7492110C"/>
    <w:rsid w:val="75063912"/>
    <w:rsid w:val="75FE63D0"/>
    <w:rsid w:val="761C7166"/>
    <w:rsid w:val="762A7BFF"/>
    <w:rsid w:val="76B37FDC"/>
    <w:rsid w:val="76D778DC"/>
    <w:rsid w:val="773C7719"/>
    <w:rsid w:val="775A1CF3"/>
    <w:rsid w:val="77DA1727"/>
    <w:rsid w:val="782D7408"/>
    <w:rsid w:val="78746F41"/>
    <w:rsid w:val="78EF3B51"/>
    <w:rsid w:val="79167488"/>
    <w:rsid w:val="7A01186A"/>
    <w:rsid w:val="7A0501B9"/>
    <w:rsid w:val="7A221DFC"/>
    <w:rsid w:val="7A2605B3"/>
    <w:rsid w:val="7B403FFA"/>
    <w:rsid w:val="7B494559"/>
    <w:rsid w:val="7B691660"/>
    <w:rsid w:val="7B78657D"/>
    <w:rsid w:val="7B924D66"/>
    <w:rsid w:val="7B9F061D"/>
    <w:rsid w:val="7BD32D46"/>
    <w:rsid w:val="7BEE5100"/>
    <w:rsid w:val="7C060B02"/>
    <w:rsid w:val="7CEA7F21"/>
    <w:rsid w:val="7CF90892"/>
    <w:rsid w:val="7D94068E"/>
    <w:rsid w:val="7DA35D98"/>
    <w:rsid w:val="7DCD0FC2"/>
    <w:rsid w:val="7DE51EF8"/>
    <w:rsid w:val="7E357016"/>
    <w:rsid w:val="7F692D90"/>
    <w:rsid w:val="7FBC627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2"/>
    <w:qFormat/>
    <w:uiPriority w:val="0"/>
    <w:pPr>
      <w:keepNext/>
      <w:adjustRightInd w:val="0"/>
      <w:snapToGrid w:val="0"/>
      <w:jc w:val="center"/>
      <w:outlineLvl w:val="0"/>
    </w:pPr>
    <w:rPr>
      <w:sz w:val="28"/>
    </w:rPr>
  </w:style>
  <w:style w:type="paragraph" w:styleId="3">
    <w:name w:val="heading 3"/>
    <w:basedOn w:val="1"/>
    <w:next w:val="1"/>
    <w:qFormat/>
    <w:uiPriority w:val="0"/>
    <w:pPr>
      <w:keepNext/>
      <w:keepLines/>
      <w:spacing w:beforeLines="0" w:beforeAutospacing="0" w:afterLines="0" w:afterAutospacing="0" w:line="240" w:lineRule="auto"/>
      <w:outlineLvl w:val="2"/>
    </w:pPr>
    <w:rPr>
      <w:rFonts w:ascii="Times New Roman" w:hAnsi="Times New Roman" w:eastAsia="宋体"/>
      <w:sz w:val="32"/>
    </w:rPr>
  </w:style>
  <w:style w:type="paragraph" w:styleId="4">
    <w:name w:val="heading 4"/>
    <w:basedOn w:val="1"/>
    <w:link w:val="33"/>
    <w:qFormat/>
    <w:uiPriority w:val="0"/>
    <w:pPr>
      <w:widowControl/>
      <w:spacing w:before="100" w:beforeAutospacing="1" w:after="100" w:afterAutospacing="1"/>
      <w:jc w:val="left"/>
      <w:outlineLvl w:val="3"/>
    </w:pPr>
    <w:rPr>
      <w:rFonts w:ascii="Arial Unicode MS" w:hAnsi="Arial Unicode MS"/>
      <w:b/>
      <w:bCs/>
      <w:kern w:val="0"/>
      <w:sz w:val="24"/>
    </w:rPr>
  </w:style>
  <w:style w:type="character" w:default="1" w:styleId="27">
    <w:name w:val="Default Paragraph Font"/>
    <w:semiHidden/>
    <w:qFormat/>
    <w:uiPriority w:val="0"/>
  </w:style>
  <w:style w:type="table" w:default="1" w:styleId="25">
    <w:name w:val="Normal Table"/>
    <w:semiHidden/>
    <w:qFormat/>
    <w:uiPriority w:val="0"/>
    <w:tblPr>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Document Map"/>
    <w:basedOn w:val="1"/>
    <w:link w:val="34"/>
    <w:qFormat/>
    <w:uiPriority w:val="0"/>
    <w:pPr>
      <w:shd w:val="clear" w:color="auto" w:fill="000080"/>
    </w:pPr>
  </w:style>
  <w:style w:type="paragraph" w:styleId="7">
    <w:name w:val="annotation text"/>
    <w:basedOn w:val="1"/>
    <w:link w:val="35"/>
    <w:qFormat/>
    <w:uiPriority w:val="0"/>
    <w:pPr>
      <w:jc w:val="left"/>
    </w:pPr>
  </w:style>
  <w:style w:type="paragraph" w:styleId="8">
    <w:name w:val="Body Text"/>
    <w:basedOn w:val="1"/>
    <w:qFormat/>
    <w:uiPriority w:val="0"/>
    <w:pPr>
      <w:spacing w:after="120"/>
    </w:pPr>
  </w:style>
  <w:style w:type="paragraph" w:styleId="9">
    <w:name w:val="Body Text Indent"/>
    <w:basedOn w:val="1"/>
    <w:link w:val="36"/>
    <w:qFormat/>
    <w:uiPriority w:val="0"/>
    <w:pPr>
      <w:adjustRightInd w:val="0"/>
      <w:snapToGrid w:val="0"/>
      <w:spacing w:line="300" w:lineRule="auto"/>
      <w:ind w:firstLine="420" w:firstLineChars="200"/>
    </w:pPr>
    <w:rPr>
      <w:rFonts w:ascii="楷体_GB2312" w:hAnsi="宋体" w:eastAsia="楷体_GB2312"/>
    </w:rPr>
  </w:style>
  <w:style w:type="paragraph" w:styleId="10">
    <w:name w:val="toc 5"/>
    <w:basedOn w:val="1"/>
    <w:next w:val="1"/>
    <w:qFormat/>
    <w:uiPriority w:val="0"/>
    <w:pPr>
      <w:ind w:left="1680" w:leftChars="800"/>
    </w:pPr>
  </w:style>
  <w:style w:type="paragraph" w:styleId="11">
    <w:name w:val="toc 3"/>
    <w:basedOn w:val="1"/>
    <w:next w:val="1"/>
    <w:qFormat/>
    <w:uiPriority w:val="0"/>
    <w:pPr>
      <w:ind w:left="840" w:leftChars="400"/>
    </w:pPr>
  </w:style>
  <w:style w:type="paragraph" w:styleId="12">
    <w:name w:val="toc 8"/>
    <w:basedOn w:val="1"/>
    <w:next w:val="1"/>
    <w:qFormat/>
    <w:uiPriority w:val="0"/>
    <w:pPr>
      <w:ind w:left="2940" w:leftChars="1400"/>
    </w:pPr>
  </w:style>
  <w:style w:type="paragraph" w:styleId="13">
    <w:name w:val="Date"/>
    <w:basedOn w:val="1"/>
    <w:next w:val="1"/>
    <w:link w:val="37"/>
    <w:qFormat/>
    <w:uiPriority w:val="0"/>
    <w:pPr>
      <w:ind w:left="100" w:leftChars="2500"/>
    </w:pPr>
    <w:rPr>
      <w:sz w:val="28"/>
    </w:rPr>
  </w:style>
  <w:style w:type="paragraph" w:styleId="14">
    <w:name w:val="Body Text Indent 2"/>
    <w:basedOn w:val="1"/>
    <w:qFormat/>
    <w:uiPriority w:val="0"/>
    <w:pPr>
      <w:adjustRightInd w:val="0"/>
      <w:snapToGrid w:val="0"/>
      <w:spacing w:line="300" w:lineRule="auto"/>
      <w:ind w:firstLine="420"/>
    </w:pPr>
    <w:rPr>
      <w:sz w:val="24"/>
    </w:rPr>
  </w:style>
  <w:style w:type="paragraph" w:styleId="15">
    <w:name w:val="Balloon Text"/>
    <w:basedOn w:val="1"/>
    <w:link w:val="38"/>
    <w:qFormat/>
    <w:uiPriority w:val="0"/>
    <w:rPr>
      <w:sz w:val="18"/>
      <w:szCs w:val="18"/>
    </w:rPr>
  </w:style>
  <w:style w:type="paragraph" w:styleId="16">
    <w:name w:val="footer"/>
    <w:basedOn w:val="1"/>
    <w:link w:val="39"/>
    <w:qFormat/>
    <w:uiPriority w:val="0"/>
    <w:pPr>
      <w:tabs>
        <w:tab w:val="center" w:pos="4153"/>
        <w:tab w:val="right" w:pos="8306"/>
      </w:tabs>
      <w:snapToGrid w:val="0"/>
      <w:jc w:val="left"/>
    </w:pPr>
    <w:rPr>
      <w:sz w:val="18"/>
      <w:szCs w:val="18"/>
    </w:rPr>
  </w:style>
  <w:style w:type="paragraph" w:styleId="17">
    <w:name w:val="header"/>
    <w:basedOn w:val="1"/>
    <w:link w:val="40"/>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style>
  <w:style w:type="paragraph" w:styleId="19">
    <w:name w:val="toc 4"/>
    <w:basedOn w:val="1"/>
    <w:next w:val="1"/>
    <w:qFormat/>
    <w:uiPriority w:val="0"/>
    <w:pPr>
      <w:ind w:left="1260" w:leftChars="600"/>
    </w:pPr>
  </w:style>
  <w:style w:type="paragraph" w:styleId="20">
    <w:name w:val="toc 6"/>
    <w:basedOn w:val="1"/>
    <w:next w:val="1"/>
    <w:qFormat/>
    <w:uiPriority w:val="0"/>
    <w:pPr>
      <w:ind w:left="2100" w:leftChars="1000"/>
    </w:pPr>
  </w:style>
  <w:style w:type="paragraph" w:styleId="21">
    <w:name w:val="Body Text Indent 3"/>
    <w:basedOn w:val="1"/>
    <w:link w:val="41"/>
    <w:qFormat/>
    <w:uiPriority w:val="0"/>
    <w:pPr>
      <w:spacing w:line="680" w:lineRule="exact"/>
      <w:ind w:firstLine="480" w:firstLineChars="200"/>
    </w:pPr>
    <w:rPr>
      <w:rFonts w:ascii="仿宋_GB2312" w:eastAsia="仿宋_GB2312"/>
      <w:sz w:val="24"/>
    </w:rPr>
  </w:style>
  <w:style w:type="paragraph" w:styleId="22">
    <w:name w:val="toc 2"/>
    <w:basedOn w:val="1"/>
    <w:next w:val="1"/>
    <w:qFormat/>
    <w:uiPriority w:val="0"/>
    <w:pPr>
      <w:ind w:left="420" w:leftChars="200"/>
    </w:pPr>
  </w:style>
  <w:style w:type="paragraph" w:styleId="23">
    <w:name w:val="toc 9"/>
    <w:basedOn w:val="1"/>
    <w:next w:val="1"/>
    <w:qFormat/>
    <w:uiPriority w:val="0"/>
    <w:pPr>
      <w:ind w:left="3360" w:leftChars="1600"/>
    </w:pPr>
  </w:style>
  <w:style w:type="paragraph" w:styleId="24">
    <w:name w:val="Normal (Web)"/>
    <w:basedOn w:val="1"/>
    <w:qFormat/>
    <w:uiPriority w:val="0"/>
    <w:pPr>
      <w:widowControl/>
      <w:spacing w:before="100" w:beforeAutospacing="1" w:after="100" w:afterAutospacing="1"/>
      <w:jc w:val="left"/>
    </w:pPr>
    <w:rPr>
      <w:rFonts w:ascii="Arial Unicode MS" w:eastAsia="Arial Unicode MS"/>
      <w:kern w:val="0"/>
      <w:sz w:val="24"/>
    </w:rPr>
  </w:style>
  <w:style w:type="table" w:styleId="26">
    <w:name w:val="Table Grid"/>
    <w:basedOn w:val="25"/>
    <w:qFormat/>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page number"/>
    <w:qFormat/>
    <w:uiPriority w:val="0"/>
  </w:style>
  <w:style w:type="character" w:styleId="29">
    <w:name w:val="FollowedHyperlink"/>
    <w:qFormat/>
    <w:uiPriority w:val="0"/>
    <w:rPr>
      <w:rFonts w:cs="Times New Roman"/>
      <w:color w:val="800080"/>
      <w:u w:val="single"/>
    </w:rPr>
  </w:style>
  <w:style w:type="character" w:styleId="30">
    <w:name w:val="Hyperlink"/>
    <w:qFormat/>
    <w:uiPriority w:val="0"/>
    <w:rPr>
      <w:color w:val="0000FF"/>
      <w:u w:val="single"/>
    </w:rPr>
  </w:style>
  <w:style w:type="character" w:styleId="31">
    <w:name w:val="annotation reference"/>
    <w:qFormat/>
    <w:uiPriority w:val="0"/>
    <w:rPr>
      <w:sz w:val="21"/>
      <w:szCs w:val="21"/>
    </w:rPr>
  </w:style>
  <w:style w:type="character" w:customStyle="1" w:styleId="32">
    <w:name w:val="标题 1 字符"/>
    <w:link w:val="2"/>
    <w:qFormat/>
    <w:locked/>
    <w:uiPriority w:val="0"/>
    <w:rPr>
      <w:rFonts w:eastAsia="宋体"/>
      <w:kern w:val="2"/>
      <w:sz w:val="28"/>
      <w:szCs w:val="24"/>
      <w:lang w:val="en-US" w:eastAsia="zh-CN" w:bidi="ar-SA"/>
    </w:rPr>
  </w:style>
  <w:style w:type="character" w:customStyle="1" w:styleId="33">
    <w:name w:val="标题 4 字符"/>
    <w:link w:val="4"/>
    <w:qFormat/>
    <w:locked/>
    <w:uiPriority w:val="0"/>
    <w:rPr>
      <w:rFonts w:ascii="Arial Unicode MS" w:hAnsi="Arial Unicode MS" w:eastAsia="宋体"/>
      <w:b/>
      <w:bCs/>
      <w:sz w:val="24"/>
      <w:szCs w:val="24"/>
      <w:lang w:val="en-US" w:eastAsia="zh-CN" w:bidi="ar-SA"/>
    </w:rPr>
  </w:style>
  <w:style w:type="character" w:customStyle="1" w:styleId="34">
    <w:name w:val="文档结构图 字符"/>
    <w:link w:val="6"/>
    <w:qFormat/>
    <w:locked/>
    <w:uiPriority w:val="0"/>
    <w:rPr>
      <w:rFonts w:eastAsia="宋体"/>
      <w:kern w:val="2"/>
      <w:sz w:val="21"/>
      <w:szCs w:val="24"/>
      <w:lang w:val="en-US" w:eastAsia="zh-CN" w:bidi="ar-SA"/>
    </w:rPr>
  </w:style>
  <w:style w:type="character" w:customStyle="1" w:styleId="35">
    <w:name w:val="批注文字 字符"/>
    <w:link w:val="7"/>
    <w:qFormat/>
    <w:uiPriority w:val="0"/>
    <w:rPr>
      <w:kern w:val="2"/>
      <w:sz w:val="21"/>
      <w:szCs w:val="24"/>
    </w:rPr>
  </w:style>
  <w:style w:type="character" w:customStyle="1" w:styleId="36">
    <w:name w:val="正文文本缩进 字符"/>
    <w:link w:val="9"/>
    <w:qFormat/>
    <w:locked/>
    <w:uiPriority w:val="0"/>
    <w:rPr>
      <w:rFonts w:ascii="楷体_GB2312" w:hAnsi="宋体" w:eastAsia="楷体_GB2312"/>
      <w:kern w:val="2"/>
      <w:sz w:val="21"/>
      <w:szCs w:val="24"/>
      <w:lang w:val="en-US" w:eastAsia="zh-CN" w:bidi="ar-SA"/>
    </w:rPr>
  </w:style>
  <w:style w:type="character" w:customStyle="1" w:styleId="37">
    <w:name w:val="日期 字符"/>
    <w:link w:val="13"/>
    <w:qFormat/>
    <w:locked/>
    <w:uiPriority w:val="0"/>
    <w:rPr>
      <w:rFonts w:eastAsia="宋体"/>
      <w:kern w:val="2"/>
      <w:sz w:val="28"/>
      <w:szCs w:val="24"/>
      <w:lang w:val="en-US" w:eastAsia="zh-CN" w:bidi="ar-SA"/>
    </w:rPr>
  </w:style>
  <w:style w:type="character" w:customStyle="1" w:styleId="38">
    <w:name w:val="批注框文本 字符"/>
    <w:link w:val="15"/>
    <w:qFormat/>
    <w:uiPriority w:val="0"/>
    <w:rPr>
      <w:kern w:val="2"/>
      <w:sz w:val="18"/>
      <w:szCs w:val="18"/>
    </w:rPr>
  </w:style>
  <w:style w:type="character" w:customStyle="1" w:styleId="39">
    <w:name w:val="页脚 字符"/>
    <w:link w:val="16"/>
    <w:qFormat/>
    <w:locked/>
    <w:uiPriority w:val="0"/>
    <w:rPr>
      <w:rFonts w:eastAsia="宋体"/>
      <w:kern w:val="2"/>
      <w:sz w:val="18"/>
      <w:szCs w:val="18"/>
      <w:lang w:val="en-US" w:eastAsia="zh-CN" w:bidi="ar-SA"/>
    </w:rPr>
  </w:style>
  <w:style w:type="character" w:customStyle="1" w:styleId="40">
    <w:name w:val="页眉 字符"/>
    <w:link w:val="17"/>
    <w:qFormat/>
    <w:uiPriority w:val="0"/>
    <w:rPr>
      <w:rFonts w:eastAsia="宋体"/>
      <w:kern w:val="2"/>
      <w:sz w:val="18"/>
      <w:szCs w:val="18"/>
      <w:lang w:val="en-US" w:eastAsia="zh-CN" w:bidi="ar-SA"/>
    </w:rPr>
  </w:style>
  <w:style w:type="character" w:customStyle="1" w:styleId="41">
    <w:name w:val="正文文本缩进 3 字符"/>
    <w:link w:val="21"/>
    <w:qFormat/>
    <w:locked/>
    <w:uiPriority w:val="0"/>
    <w:rPr>
      <w:rFonts w:ascii="仿宋_GB2312" w:eastAsia="仿宋_GB2312"/>
      <w:kern w:val="2"/>
      <w:sz w:val="24"/>
      <w:szCs w:val="24"/>
      <w:lang w:val="en-US" w:eastAsia="zh-CN" w:bidi="ar-SA"/>
    </w:rPr>
  </w:style>
  <w:style w:type="character" w:customStyle="1" w:styleId="42">
    <w:name w:val=" Char Char5"/>
    <w:qFormat/>
    <w:locked/>
    <w:uiPriority w:val="0"/>
    <w:rPr>
      <w:rFonts w:cs="Times New Roman"/>
      <w:kern w:val="2"/>
      <w:sz w:val="18"/>
      <w:szCs w:val="18"/>
    </w:rPr>
  </w:style>
  <w:style w:type="character" w:customStyle="1" w:styleId="43">
    <w:name w:val="question-title2"/>
    <w:qFormat/>
    <w:uiPriority w:val="0"/>
  </w:style>
  <w:style w:type="paragraph" w:customStyle="1" w:styleId="44">
    <w:name w:val="p0"/>
    <w:basedOn w:val="1"/>
    <w:unhideWhenUsed/>
    <w:qFormat/>
    <w:uiPriority w:val="0"/>
    <w:pPr>
      <w:widowControl/>
    </w:pPr>
    <w:rPr>
      <w:rFonts w:hint="eastAsia"/>
      <w:szCs w:val="20"/>
    </w:rPr>
  </w:style>
  <w:style w:type="table" w:customStyle="1" w:styleId="45">
    <w:name w:val="网格型1"/>
    <w:basedOn w:val="25"/>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6">
    <w:name w:val="List Paragraph"/>
    <w:basedOn w:val="1"/>
    <w:qFormat/>
    <w:uiPriority w:val="34"/>
    <w:pPr>
      <w:ind w:firstLine="420" w:firstLineChars="200"/>
    </w:pPr>
    <w:rPr>
      <w:rFonts w:ascii="Calibri" w:hAnsi="Calibri" w:eastAsia="宋体" w:cs="Times New Roman"/>
      <w:szCs w:val="22"/>
    </w:rPr>
  </w:style>
  <w:style w:type="table" w:customStyle="1" w:styleId="47">
    <w:name w:val="Table Normal"/>
    <w:unhideWhenUsed/>
    <w:qFormat/>
    <w:uiPriority w:val="0"/>
    <w:rPr>
      <w:lang w:val="en-US" w:eastAsia="zh-CN" w:bidi="ar-SA"/>
    </w:rPr>
    <w:tblPr>
      <w:tblCellMar>
        <w:top w:w="0" w:type="dxa"/>
        <w:left w:w="0" w:type="dxa"/>
        <w:bottom w:w="0" w:type="dxa"/>
        <w:right w:w="0" w:type="dxa"/>
      </w:tblCellMar>
    </w:tblPr>
  </w:style>
  <w:style w:type="paragraph" w:customStyle="1" w:styleId="48">
    <w:name w:val="Table Text"/>
    <w:basedOn w:val="1"/>
    <w:semiHidden/>
    <w:qFormat/>
    <w:uiPriority w:val="0"/>
    <w:rPr>
      <w:rFonts w:ascii="宋体" w:hAnsi="宋体" w:eastAsia="宋体" w:cs="宋体"/>
      <w:sz w:val="19"/>
      <w:szCs w:val="19"/>
      <w:lang w:val="en-US" w:eastAsia="en-US" w:bidi="ar-SA"/>
    </w:rPr>
  </w:style>
  <w:style w:type="character" w:customStyle="1" w:styleId="49">
    <w:name w:val="_Style 48"/>
    <w:unhideWhenUsed/>
    <w:qFormat/>
    <w:uiPriority w:val="99"/>
    <w:rPr>
      <w:color w:val="605E5C"/>
      <w:shd w:val="clear" w:color="auto" w:fill="E1DFDD"/>
    </w:rPr>
  </w:style>
  <w:style w:type="paragraph" w:customStyle="1" w:styleId="50">
    <w:name w:val="WPSOffice手动目录 1"/>
    <w:qFormat/>
    <w:uiPriority w:val="0"/>
    <w:rPr>
      <w:rFonts w:ascii="Times New Roman" w:hAnsi="Times New Roman" w:eastAsia="宋体" w:cs="Times New Roman"/>
      <w:lang w:val="en-US" w:eastAsia="zh-CN" w:bidi="ar-SA"/>
    </w:rPr>
  </w:style>
  <w:style w:type="paragraph" w:customStyle="1" w:styleId="51">
    <w:name w:val="WPSOffice手动目录 2"/>
    <w:qFormat/>
    <w:uiPriority w:val="0"/>
    <w:pPr>
      <w:ind w:leftChars="200"/>
    </w:pPr>
    <w:rPr>
      <w:rFonts w:ascii="Times New Roman" w:hAnsi="Times New Roman" w:eastAsia="宋体" w:cs="Times New Roman"/>
      <w:lang w:val="en-US" w:eastAsia="zh-CN" w:bidi="ar-SA"/>
    </w:rPr>
  </w:style>
  <w:style w:type="paragraph" w:customStyle="1" w:styleId="52">
    <w:name w:val="WPSOffice手动目录 3"/>
    <w:qFormat/>
    <w:uiPriority w:val="0"/>
    <w:pPr>
      <w:ind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xx</Company>
  <Pages>52</Pages>
  <Words>8773</Words>
  <Characters>9171</Characters>
  <Lines>190</Lines>
  <Paragraphs>53</Paragraphs>
  <TotalTime>13</TotalTime>
  <ScaleCrop>false</ScaleCrop>
  <LinksUpToDate>false</LinksUpToDate>
  <CharactersWithSpaces>9265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2024-03-08T01:37:00Z</dcterms:created>
  <dc:creator>xx</dc:creator>
  <cp:lastModifiedBy>李艳</cp:lastModifiedBy>
  <cp:lastPrinted>2025-08-05T03:09:00Z</cp:lastPrinted>
  <dcterms:modified xsi:type="dcterms:W3CDTF">2025-08-08T06:41:25Z</dcterms:modified>
  <dc:title>中装协（2001）10号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957B209196AD4D95916F337B7A3BA434_13</vt:lpwstr>
  </property>
  <property fmtid="{D5CDD505-2E9C-101B-9397-08002B2CF9AE}" pid="4" name="KSOTemplateDocerSaveRecord">
    <vt:lpwstr>eyJoZGlkIjoiYTExMTcwMjBkMTNkNDkwZThmYTIzOGE4ZTRlZjQzZmYiLCJ1c2VySWQiOiI5MDQwMDE3MzEifQ==</vt:lpwstr>
  </property>
</Properties>
</file>