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right="0"/>
        <w:jc w:val="left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附件：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420"/>
        <w:jc w:val="left"/>
        <w:rPr>
          <w:rFonts w:hint="eastAsia" w:ascii="Arial" w:hAnsi="Arial" w:cs="Arial"/>
          <w:b w:val="0"/>
          <w:i w:val="0"/>
          <w:caps w:val="0"/>
          <w:color w:val="000000"/>
          <w:spacing w:val="0"/>
          <w:sz w:val="19"/>
          <w:szCs w:val="19"/>
          <w:lang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420"/>
        <w:jc w:val="center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内建协[2017]13号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关于确定五届二次理事会具体事宜的通知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420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right="0"/>
        <w:jc w:val="left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各位理事、各盟市建筑业协会：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420"/>
        <w:jc w:val="left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按照《内蒙古自治区建筑业协会章程》的规定，兹定于2017年3月23日—24日在呼和浩特市召开内蒙古自治区建筑业协会五届二次理事会，现将会议有关事项通知如下：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right="0"/>
        <w:jc w:val="left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一、会议内容：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right="0"/>
        <w:jc w:val="left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1、报告五次会员代表大会以来工作内容及2017年工作重点；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right="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2、2016年度财务报告；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right="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3、审议增补理事会常务理事、理事名单；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right="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4、审议会员单位入会申请；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right="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5、审议各专业分会增补副会长名单；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right="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6、审议《行业自律公约》及《诚信管理办法》；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right="0"/>
        <w:jc w:val="left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7、表彰自治区建筑行业安全先进企业、诚信企业、自治区工程建设省级施工工法企业及新技术应用示范工程获奖企业。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right="0"/>
        <w:jc w:val="left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二、参会人员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42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自治区建筑业协会会长、副会长、常务理事、理事；各盟市建筑业协会会长、秘书长；各专业分会领导机构。邀请自治区住建厅建筑业处相关领导及各盟市住建局(委)相关领导参会。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right="0"/>
        <w:jc w:val="left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三、会议时间及地点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right="0"/>
        <w:jc w:val="left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1、会议时间：3月23日全天报到；24日上午召开内蒙古自治区建筑业协会五届二次理事会；24日下午就建筑业企业资质申报进行解读；就工程造价相关问题做专题讲座。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right="0"/>
        <w:jc w:val="left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2、会议地点：内蒙古呼和浩特市新城区乌兰察布西路31号内蒙古饭店，酒店联系电话0471-6938888。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right="0"/>
        <w:jc w:val="left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四、有关事项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right="0"/>
        <w:jc w:val="left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1、参会人员一律着正装。（浅色衬衣、深色套装系领带）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right="0"/>
        <w:jc w:val="left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2、各盟市建筑业协会请协助通知所在盟市的常务理事、理事参加会议，还未提交参会报名表的企业请于21日前将参会人员名单报自治区建筑业协会。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right="0"/>
        <w:jc w:val="left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联系地址：呼和浩特市赛罕区锡林南路永光巷28号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right="0"/>
        <w:jc w:val="left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联系电话：0471-6294117(兼传真)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right="0"/>
        <w:jc w:val="left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联 系 人：孟那  郭伟霞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420"/>
        <w:jc w:val="left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电子邮箱：nmgjzyxh@163.com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420"/>
        <w:jc w:val="left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420"/>
        <w:jc w:val="left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附：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fldChar w:fldCharType="begin"/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instrText xml:space="preserve"> HYPERLINK "http://www.nmgjzyxh.org/upload/file/20170320/20170320030829_50907.docx" \t "http://www.nmgjzyxh.org/_blank" </w:instrTex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1、五届二次理事会报名表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420"/>
        <w:jc w:val="left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fldChar w:fldCharType="begin"/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instrText xml:space="preserve"> HYPERLINK "http://www.nmgjzyxh.org/upload/file/20170320/20170320030838_84476.docx" \t "http://www.nmgjzyxh.org/_blank" </w:instrTex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2、酒店区位图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420"/>
        <w:jc w:val="left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420"/>
        <w:jc w:val="left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     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2016年3月17日</w:t>
      </w: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 xml:space="preserve">五届二次理事会参会报名表 </w:t>
      </w:r>
    </w:p>
    <w:tbl>
      <w:tblPr>
        <w:tblStyle w:val="6"/>
        <w:tblW w:w="961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545"/>
        <w:gridCol w:w="1620"/>
        <w:gridCol w:w="1260"/>
        <w:gridCol w:w="1517"/>
        <w:gridCol w:w="19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单位名称</w:t>
            </w:r>
          </w:p>
        </w:tc>
        <w:tc>
          <w:tcPr>
            <w:tcW w:w="442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联系电话</w:t>
            </w:r>
          </w:p>
        </w:tc>
        <w:tc>
          <w:tcPr>
            <w:tcW w:w="19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通信地址</w:t>
            </w:r>
          </w:p>
        </w:tc>
        <w:tc>
          <w:tcPr>
            <w:tcW w:w="442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邮政编码</w:t>
            </w:r>
          </w:p>
        </w:tc>
        <w:tc>
          <w:tcPr>
            <w:tcW w:w="19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68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联系人</w:t>
            </w:r>
          </w:p>
        </w:tc>
        <w:tc>
          <w:tcPr>
            <w:tcW w:w="154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工作部门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固定电话</w:t>
            </w:r>
          </w:p>
        </w:tc>
        <w:tc>
          <w:tcPr>
            <w:tcW w:w="19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16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4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职务/职称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移动电话</w:t>
            </w:r>
          </w:p>
        </w:tc>
        <w:tc>
          <w:tcPr>
            <w:tcW w:w="19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961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参 会 人 员 名 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400" w:lineRule="exact"/>
              <w:ind w:left="6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 名</w:t>
            </w:r>
          </w:p>
        </w:tc>
        <w:tc>
          <w:tcPr>
            <w:tcW w:w="442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工  作  单  位</w:t>
            </w:r>
          </w:p>
        </w:tc>
        <w:tc>
          <w:tcPr>
            <w:tcW w:w="151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职务/职称</w:t>
            </w:r>
          </w:p>
        </w:tc>
        <w:tc>
          <w:tcPr>
            <w:tcW w:w="19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移动电话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425" w:type="dxa"/>
            <w:gridSpan w:val="3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425" w:type="dxa"/>
            <w:gridSpan w:val="3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425" w:type="dxa"/>
            <w:gridSpan w:val="3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333333"/>
              </w:rPr>
              <w:t>住宿（请打√）</w:t>
            </w:r>
          </w:p>
        </w:tc>
        <w:tc>
          <w:tcPr>
            <w:tcW w:w="7930" w:type="dxa"/>
            <w:gridSpan w:val="5"/>
            <w:vAlign w:val="center"/>
          </w:tcPr>
          <w:p>
            <w:pPr>
              <w:pStyle w:val="3"/>
              <w:spacing w:line="300" w:lineRule="exact"/>
              <w:rPr>
                <w:rFonts w:ascii="仿宋_GB2312" w:eastAsia="仿宋_GB2312"/>
                <w:color w:val="333333"/>
              </w:rPr>
            </w:pPr>
            <w:r>
              <w:rPr>
                <w:rFonts w:hint="eastAsia" w:ascii="仿宋_GB2312" w:eastAsia="仿宋_GB2312"/>
                <w:color w:val="333333"/>
              </w:rPr>
              <w:t>□标间</w:t>
            </w: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333333"/>
                <w:sz w:val="24"/>
              </w:rPr>
              <w:t>□单间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333333"/>
                <w:sz w:val="28"/>
                <w:szCs w:val="28"/>
              </w:rPr>
              <w:t>备  注</w:t>
            </w:r>
          </w:p>
        </w:tc>
        <w:tc>
          <w:tcPr>
            <w:tcW w:w="7930" w:type="dxa"/>
            <w:gridSpan w:val="5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333333"/>
                <w:sz w:val="28"/>
                <w:szCs w:val="28"/>
              </w:rPr>
              <w:t>请于3月</w:t>
            </w:r>
            <w:r>
              <w:rPr>
                <w:rFonts w:hint="eastAsia" w:ascii="仿宋_GB2312" w:eastAsia="仿宋_GB2312"/>
                <w:color w:val="333333"/>
                <w:sz w:val="28"/>
                <w:szCs w:val="28"/>
                <w:lang w:val="en-US" w:eastAsia="zh-CN"/>
              </w:rPr>
              <w:t>19</w:t>
            </w:r>
            <w:r>
              <w:rPr>
                <w:rFonts w:hint="eastAsia" w:ascii="仿宋_GB2312" w:eastAsia="仿宋_GB2312"/>
                <w:color w:val="333333"/>
                <w:sz w:val="28"/>
                <w:szCs w:val="28"/>
              </w:rPr>
              <w:t>日前传真或发电子邮件至我会</w:t>
            </w:r>
          </w:p>
        </w:tc>
      </w:tr>
    </w:tbl>
    <w:p>
      <w:pPr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rPr>
          <w:rFonts w:hint="eastAsia" w:ascii="黑体" w:hAnsi="黑体" w:eastAsia="黑体" w:cs="黑体"/>
          <w:spacing w:val="-2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2：</w:t>
      </w:r>
      <w:r>
        <w:rPr>
          <w:rFonts w:hint="eastAsia" w:ascii="黑体" w:hAnsi="黑体" w:eastAsia="黑体" w:cs="黑体"/>
          <w:spacing w:val="-20"/>
          <w:sz w:val="32"/>
          <w:szCs w:val="32"/>
          <w:lang w:eastAsia="zh-CN"/>
        </w:rPr>
        <w:t>酒店区位图</w:t>
      </w:r>
    </w:p>
    <w:p>
      <w:pPr>
        <w:rPr>
          <w:rFonts w:hint="eastAsia" w:ascii="仿宋_GB2312" w:eastAsia="仿宋_GB2312"/>
          <w:spacing w:val="-20"/>
          <w:sz w:val="30"/>
          <w:szCs w:val="30"/>
          <w:lang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 w:firstLine="42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drawing>
          <wp:inline distT="0" distB="0" distL="114300" distR="114300">
            <wp:extent cx="5273675" cy="2964180"/>
            <wp:effectExtent l="0" t="0" r="14605" b="7620"/>
            <wp:docPr id="1" name="图片 1" descr="内蒙古饭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内蒙古饭店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96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2985770</wp:posOffset>
                </wp:positionH>
                <wp:positionV relativeFrom="paragraph">
                  <wp:posOffset>214630</wp:posOffset>
                </wp:positionV>
                <wp:extent cx="917575" cy="485140"/>
                <wp:effectExtent l="4445" t="4445" r="7620" b="1333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126865" y="6729095"/>
                          <a:ext cx="917575" cy="485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5.1pt;margin-top:16.9pt;height:38.2pt;width:72.25pt;z-index:-251658240;mso-width-relative:page;mso-height-relative:page;" fillcolor="#FFFFFF [3201]" filled="t" stroked="t" coordsize="21600,21600" o:gfxdata="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DW3Fc9YAAAAKAQAADwAAAAAAAAAB&#10;ACAAAAAiAAAAZHJzL2Rvd25yZXYueG1sUEsBAhQAFAAAAAgAh07iQBSsialLAgAAdAQAAA4AAAAA&#10;AAAAAQAgAAAAJQ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F926F3"/>
    <w:rsid w:val="35803DEC"/>
    <w:rsid w:val="4C2568E9"/>
    <w:rsid w:val="50F926F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2017-03-21T01:10:00Z</dcterms:created>
  <dc:creator>kcdz</dc:creator>
  <cp:lastModifiedBy>SUMEI</cp:lastModifiedBy>
  <dcterms:modified xsi:type="dcterms:W3CDTF">2017-03-21T01:55:00Z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